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33E8F" w14:textId="5CCD3639" w:rsidR="006925AE" w:rsidRPr="006925AE" w:rsidRDefault="006925AE">
      <w:pPr>
        <w:rPr>
          <w:b/>
          <w:bCs/>
        </w:rPr>
      </w:pPr>
      <w:r w:rsidRPr="006925AE">
        <w:rPr>
          <w:b/>
          <w:bCs/>
        </w:rPr>
        <w:t>Určete, kterým větným členem jsou v daném kontextu zvýrazněná slova nebo slovní spojení.</w:t>
      </w:r>
    </w:p>
    <w:p w14:paraId="00968352" w14:textId="77777777" w:rsidR="006925AE" w:rsidRDefault="006925AE"/>
    <w:p w14:paraId="0229EBC1" w14:textId="5FFC17D6" w:rsidR="006925AE" w:rsidRDefault="006925AE" w:rsidP="006925AE">
      <w:r>
        <w:t xml:space="preserve">Světová zdravotnická organizace (WHO) vydala stanovisko, v němž nedoporučuje používat lék remdesivir proti covidu-19. </w:t>
      </w:r>
      <w:r w:rsidRPr="00E9363F">
        <w:rPr>
          <w:b/>
          <w:bCs/>
        </w:rPr>
        <w:t>Podle ní</w:t>
      </w:r>
      <w:r>
        <w:t xml:space="preserve"> chybějí jakékoli důkazy, že přípravek zvyšuje šance </w:t>
      </w:r>
      <w:r w:rsidRPr="00E9363F">
        <w:rPr>
          <w:b/>
          <w:bCs/>
        </w:rPr>
        <w:t>na přežití</w:t>
      </w:r>
      <w:r>
        <w:t xml:space="preserve"> pacientů s touto nemocí či že u nich snižuje potřebu plicní ventilace. Antivirotický lék remdesivir získal celosvětovou pozornost </w:t>
      </w:r>
      <w:r w:rsidRPr="00E9363F">
        <w:rPr>
          <w:b/>
          <w:bCs/>
        </w:rPr>
        <w:t>coby</w:t>
      </w:r>
      <w:r>
        <w:t xml:space="preserve"> potenciálně účinný </w:t>
      </w:r>
      <w:r w:rsidRPr="00E9363F">
        <w:rPr>
          <w:b/>
          <w:bCs/>
        </w:rPr>
        <w:t>lék</w:t>
      </w:r>
      <w:r>
        <w:t xml:space="preserve"> pro pacienty </w:t>
      </w:r>
      <w:r w:rsidRPr="00E9363F">
        <w:rPr>
          <w:b/>
          <w:bCs/>
        </w:rPr>
        <w:t xml:space="preserve">s </w:t>
      </w:r>
      <w:r>
        <w:t xml:space="preserve">vážným </w:t>
      </w:r>
      <w:r w:rsidRPr="00E9363F">
        <w:rPr>
          <w:b/>
          <w:bCs/>
        </w:rPr>
        <w:t>průběhem</w:t>
      </w:r>
      <w:r>
        <w:t xml:space="preserve"> covidu</w:t>
      </w:r>
      <w:r>
        <w:noBreakHyphen/>
        <w:t xml:space="preserve">19 a zdravotníci jej čím dál častěji používají </w:t>
      </w:r>
      <w:r w:rsidRPr="00E9363F">
        <w:rPr>
          <w:b/>
          <w:bCs/>
        </w:rPr>
        <w:t>p</w:t>
      </w:r>
      <w:r w:rsidR="00437DC1">
        <w:rPr>
          <w:b/>
          <w:bCs/>
        </w:rPr>
        <w:t>ro</w:t>
      </w:r>
      <w:r w:rsidRPr="00E9363F">
        <w:rPr>
          <w:b/>
          <w:bCs/>
        </w:rPr>
        <w:t xml:space="preserve"> léčb</w:t>
      </w:r>
      <w:r w:rsidR="00437DC1">
        <w:rPr>
          <w:b/>
          <w:bCs/>
        </w:rPr>
        <w:t>u</w:t>
      </w:r>
      <w:r>
        <w:t xml:space="preserve"> pacientů v nemocnici. Jeho skutečná účinnost v klinické praxi </w:t>
      </w:r>
      <w:r w:rsidRPr="00E9363F">
        <w:rPr>
          <w:b/>
          <w:bCs/>
        </w:rPr>
        <w:t>nicméně</w:t>
      </w:r>
      <w:r>
        <w:t xml:space="preserve"> zůstává </w:t>
      </w:r>
      <w:r w:rsidRPr="009612C8">
        <w:rPr>
          <w:b/>
          <w:bCs/>
        </w:rPr>
        <w:t>nejistá</w:t>
      </w:r>
      <w:r>
        <w:t>.</w:t>
      </w:r>
    </w:p>
    <w:p w14:paraId="1EFA52EA" w14:textId="7EFF9E29" w:rsidR="006925AE" w:rsidRDefault="006925AE" w:rsidP="006925AE">
      <w:r>
        <w:t xml:space="preserve">Panel WHO složený z mezinárodních expertů uvedl, že remdesivir není doporučeníhodný </w:t>
      </w:r>
      <w:r w:rsidRPr="00E9363F">
        <w:rPr>
          <w:b/>
          <w:bCs/>
        </w:rPr>
        <w:t xml:space="preserve">pro </w:t>
      </w:r>
      <w:r>
        <w:t xml:space="preserve">nemocniční </w:t>
      </w:r>
      <w:r w:rsidRPr="00E9363F">
        <w:rPr>
          <w:b/>
          <w:bCs/>
        </w:rPr>
        <w:t>pacienty</w:t>
      </w:r>
      <w:r>
        <w:t xml:space="preserve"> s covidem-19 </w:t>
      </w:r>
      <w:bookmarkStart w:id="0" w:name="_Hlk153125820"/>
      <w:r w:rsidRPr="00E9363F">
        <w:rPr>
          <w:b/>
          <w:bCs/>
        </w:rPr>
        <w:t xml:space="preserve">bez ohledu na </w:t>
      </w:r>
      <w:r w:rsidRPr="00AE5C22">
        <w:rPr>
          <w:b/>
          <w:bCs/>
        </w:rPr>
        <w:t>vážn</w:t>
      </w:r>
      <w:r w:rsidR="00AE5C22" w:rsidRPr="00AE5C22">
        <w:rPr>
          <w:b/>
          <w:bCs/>
        </w:rPr>
        <w:t>ost</w:t>
      </w:r>
      <w:r>
        <w:t xml:space="preserve"> jejich zdravotní</w:t>
      </w:r>
      <w:r w:rsidR="00AE5C22">
        <w:t>ho</w:t>
      </w:r>
      <w:r>
        <w:t xml:space="preserve"> stav</w:t>
      </w:r>
      <w:r w:rsidR="00AE5C22">
        <w:t>u</w:t>
      </w:r>
      <w:bookmarkEnd w:id="0"/>
      <w:r>
        <w:t>.</w:t>
      </w:r>
    </w:p>
    <w:p w14:paraId="6488BB7B" w14:textId="56E5F8A1" w:rsidR="006925AE" w:rsidRDefault="006925AE" w:rsidP="006925AE">
      <w:r>
        <w:t xml:space="preserve">Doporučení podle WHO vychází </w:t>
      </w:r>
      <w:r w:rsidRPr="00E9363F">
        <w:rPr>
          <w:b/>
          <w:bCs/>
        </w:rPr>
        <w:t xml:space="preserve">z </w:t>
      </w:r>
      <w:r>
        <w:t xml:space="preserve">nových </w:t>
      </w:r>
      <w:r w:rsidRPr="00E9363F">
        <w:rPr>
          <w:b/>
          <w:bCs/>
        </w:rPr>
        <w:t>zjištění</w:t>
      </w:r>
      <w:r>
        <w:t xml:space="preserve"> při výzkumu, </w:t>
      </w:r>
      <w:r w:rsidRPr="00E9363F">
        <w:rPr>
          <w:b/>
          <w:bCs/>
        </w:rPr>
        <w:t>který</w:t>
      </w:r>
      <w:r>
        <w:t xml:space="preserve"> porovnával účinky </w:t>
      </w:r>
      <w:r w:rsidRPr="009612C8">
        <w:rPr>
          <w:b/>
          <w:bCs/>
        </w:rPr>
        <w:t>několika</w:t>
      </w:r>
      <w:r>
        <w:t xml:space="preserve"> medikamentů používaných při léčbě covidu-19 celkem na </w:t>
      </w:r>
      <w:r w:rsidRPr="00E9363F">
        <w:rPr>
          <w:b/>
          <w:bCs/>
        </w:rPr>
        <w:t>sedmi</w:t>
      </w:r>
      <w:r>
        <w:t xml:space="preserve"> tisících hospitalizovaných pacientech. Z nich nevyplývá, že remdesivir nemá </w:t>
      </w:r>
      <w:r w:rsidRPr="00B879B5">
        <w:t>na léčbu</w:t>
      </w:r>
      <w:r>
        <w:t xml:space="preserve"> žádný </w:t>
      </w:r>
      <w:r w:rsidRPr="00B879B5">
        <w:rPr>
          <w:b/>
          <w:bCs/>
        </w:rPr>
        <w:t>efekt</w:t>
      </w:r>
      <w:r>
        <w:t xml:space="preserve">, ale spíše že </w:t>
      </w:r>
      <w:r w:rsidRPr="00CB3318">
        <w:rPr>
          <w:b/>
          <w:bCs/>
        </w:rPr>
        <w:t>na základě</w:t>
      </w:r>
      <w:r>
        <w:t xml:space="preserve"> dostupných dat nejsou důkazy o tom, že zlepšuje vyhlídky pacientů </w:t>
      </w:r>
      <w:r w:rsidRPr="00E9363F">
        <w:rPr>
          <w:b/>
          <w:bCs/>
        </w:rPr>
        <w:t>na uzdravení</w:t>
      </w:r>
      <w:r>
        <w:t>, uvedl panel.</w:t>
      </w:r>
    </w:p>
    <w:p w14:paraId="5FFD8C39" w14:textId="71931388" w:rsidR="006925AE" w:rsidRDefault="006925AE" w:rsidP="006925AE">
      <w:r w:rsidRPr="00092E0D">
        <w:rPr>
          <w:b/>
          <w:bCs/>
        </w:rPr>
        <w:t>S ohledem na možnost</w:t>
      </w:r>
      <w:r>
        <w:t xml:space="preserve"> škodlivých vedlejších účinků, </w:t>
      </w:r>
      <w:r w:rsidRPr="00E9363F">
        <w:rPr>
          <w:b/>
          <w:bCs/>
        </w:rPr>
        <w:t>relativně</w:t>
      </w:r>
      <w:r>
        <w:t xml:space="preserve"> vysokou cenu i nesnadnou aplikaci –</w:t>
      </w:r>
      <w:r>
        <w:rPr>
          <w:rFonts w:ascii="Tahoma" w:hAnsi="Tahoma" w:cs="Tahoma"/>
        </w:rPr>
        <w:t>⁠</w:t>
      </w:r>
      <w:r>
        <w:t xml:space="preserve"> remdesivir mus</w:t>
      </w:r>
      <w:r>
        <w:rPr>
          <w:rFonts w:ascii="Calibri" w:hAnsi="Calibri" w:cs="Calibri"/>
        </w:rPr>
        <w:t>í</w:t>
      </w:r>
      <w:r>
        <w:t xml:space="preserve"> b</w:t>
      </w:r>
      <w:r>
        <w:rPr>
          <w:rFonts w:ascii="Calibri" w:hAnsi="Calibri" w:cs="Calibri"/>
        </w:rPr>
        <w:t>ý</w:t>
      </w:r>
      <w:r>
        <w:t xml:space="preserve">t </w:t>
      </w:r>
      <w:r w:rsidR="009612C8" w:rsidRPr="009612C8">
        <w:rPr>
          <w:b/>
          <w:bCs/>
        </w:rPr>
        <w:t>pacientům</w:t>
      </w:r>
      <w:r w:rsidR="009612C8">
        <w:t xml:space="preserve"> </w:t>
      </w:r>
      <w:r>
        <w:t>vpichov</w:t>
      </w:r>
      <w:r>
        <w:rPr>
          <w:rFonts w:ascii="Calibri" w:hAnsi="Calibri" w:cs="Calibri"/>
        </w:rPr>
        <w:t>á</w:t>
      </w:r>
      <w:r>
        <w:t xml:space="preserve">n do </w:t>
      </w:r>
      <w:r>
        <w:rPr>
          <w:rFonts w:ascii="Calibri" w:hAnsi="Calibri" w:cs="Calibri"/>
        </w:rPr>
        <w:t>ží</w:t>
      </w:r>
      <w:r>
        <w:t xml:space="preserve">ly </w:t>
      </w:r>
      <w:r>
        <w:rPr>
          <w:rFonts w:ascii="Calibri" w:hAnsi="Calibri" w:cs="Calibri"/>
        </w:rPr>
        <w:t>–</w:t>
      </w:r>
      <w:r>
        <w:rPr>
          <w:rFonts w:ascii="Tahoma" w:hAnsi="Tahoma" w:cs="Tahoma"/>
        </w:rPr>
        <w:t>⁠</w:t>
      </w:r>
      <w:r>
        <w:t xml:space="preserve"> proto WHO pova</w:t>
      </w:r>
      <w:r>
        <w:rPr>
          <w:rFonts w:ascii="Calibri" w:hAnsi="Calibri" w:cs="Calibri"/>
        </w:rPr>
        <w:t>ž</w:t>
      </w:r>
      <w:r>
        <w:t>ovala za adekv</w:t>
      </w:r>
      <w:r>
        <w:rPr>
          <w:rFonts w:ascii="Calibri" w:hAnsi="Calibri" w:cs="Calibri"/>
        </w:rPr>
        <w:t>á</w:t>
      </w:r>
      <w:r>
        <w:t>tn</w:t>
      </w:r>
      <w:r>
        <w:rPr>
          <w:rFonts w:ascii="Calibri" w:hAnsi="Calibri" w:cs="Calibri"/>
        </w:rPr>
        <w:t>í</w:t>
      </w:r>
      <w:r>
        <w:t xml:space="preserve"> </w:t>
      </w:r>
      <w:r w:rsidRPr="00160816">
        <w:rPr>
          <w:b/>
          <w:bCs/>
        </w:rPr>
        <w:t>vydat</w:t>
      </w:r>
      <w:r>
        <w:t xml:space="preserve"> negativn</w:t>
      </w:r>
      <w:r>
        <w:rPr>
          <w:rFonts w:ascii="Calibri" w:hAnsi="Calibri" w:cs="Calibri"/>
        </w:rPr>
        <w:t>í</w:t>
      </w:r>
      <w:r>
        <w:t xml:space="preserve"> stanovisko pro u</w:t>
      </w:r>
      <w:r>
        <w:rPr>
          <w:rFonts w:ascii="Calibri" w:hAnsi="Calibri" w:cs="Calibri"/>
        </w:rPr>
        <w:t>ží</w:t>
      </w:r>
      <w:r>
        <w:t>v</w:t>
      </w:r>
      <w:r>
        <w:rPr>
          <w:rFonts w:ascii="Calibri" w:hAnsi="Calibri" w:cs="Calibri"/>
        </w:rPr>
        <w:t>á</w:t>
      </w:r>
      <w:r>
        <w:t>n</w:t>
      </w:r>
      <w:r>
        <w:rPr>
          <w:rFonts w:ascii="Calibri" w:hAnsi="Calibri" w:cs="Calibri"/>
        </w:rPr>
        <w:t>í</w:t>
      </w:r>
      <w:r>
        <w:t xml:space="preserve"> tohoto </w:t>
      </w:r>
      <w:r w:rsidRPr="00E9363F">
        <w:rPr>
          <w:b/>
          <w:bCs/>
        </w:rPr>
        <w:t>p</w:t>
      </w:r>
      <w:r w:rsidRPr="00E9363F">
        <w:rPr>
          <w:rFonts w:ascii="Calibri" w:hAnsi="Calibri" w:cs="Calibri"/>
          <w:b/>
          <w:bCs/>
        </w:rPr>
        <w:t>ří</w:t>
      </w:r>
      <w:r w:rsidRPr="00E9363F">
        <w:rPr>
          <w:b/>
          <w:bCs/>
        </w:rPr>
        <w:t>pravku</w:t>
      </w:r>
      <w:r>
        <w:t>.</w:t>
      </w:r>
    </w:p>
    <w:p w14:paraId="49600824" w14:textId="74B070EB" w:rsidR="006925AE" w:rsidRDefault="006925AE" w:rsidP="006925AE">
      <w:pPr>
        <w:jc w:val="right"/>
      </w:pPr>
      <w:r>
        <w:t xml:space="preserve">zdroj: </w:t>
      </w:r>
      <w:hyperlink r:id="rId4" w:history="1">
        <w:r w:rsidRPr="00D71A69">
          <w:rPr>
            <w:rStyle w:val="Hypertextovodkaz"/>
          </w:rPr>
          <w:t>https://ct24.ceskatelevize.cz/</w:t>
        </w:r>
      </w:hyperlink>
      <w:r w:rsidR="00437DC1">
        <w:t>, upraveno</w:t>
      </w:r>
    </w:p>
    <w:p w14:paraId="31A6FA2C" w14:textId="037BAFF0" w:rsidR="006925AE" w:rsidRDefault="006925AE" w:rsidP="006925AE">
      <w:pPr>
        <w:jc w:val="right"/>
      </w:pPr>
    </w:p>
    <w:p w14:paraId="1E9E70E2" w14:textId="56C4C138" w:rsidR="009612C8" w:rsidRDefault="009612C8" w:rsidP="006925AE"/>
    <w:sectPr w:rsidR="00961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AE"/>
    <w:rsid w:val="00020DC4"/>
    <w:rsid w:val="00092E0D"/>
    <w:rsid w:val="00116B16"/>
    <w:rsid w:val="00133965"/>
    <w:rsid w:val="00160816"/>
    <w:rsid w:val="00437DC1"/>
    <w:rsid w:val="006925AE"/>
    <w:rsid w:val="007A2F31"/>
    <w:rsid w:val="0096113A"/>
    <w:rsid w:val="009612C8"/>
    <w:rsid w:val="00997E5F"/>
    <w:rsid w:val="00A36627"/>
    <w:rsid w:val="00A92558"/>
    <w:rsid w:val="00AE5C22"/>
    <w:rsid w:val="00B879B5"/>
    <w:rsid w:val="00C424C3"/>
    <w:rsid w:val="00CB3318"/>
    <w:rsid w:val="00CD17E2"/>
    <w:rsid w:val="00D23CA6"/>
    <w:rsid w:val="00D429BA"/>
    <w:rsid w:val="00E9363F"/>
    <w:rsid w:val="00F2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1080"/>
  <w15:chartTrackingRefBased/>
  <w15:docId w15:val="{2270BF93-163D-4F7A-B039-2B53F667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925A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2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t24.ceskatelevize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Prokšová</dc:creator>
  <cp:keywords/>
  <dc:description/>
  <cp:lastModifiedBy>Andrlová Fidlerová, Alena</cp:lastModifiedBy>
  <cp:revision>3</cp:revision>
  <dcterms:created xsi:type="dcterms:W3CDTF">2023-12-10T17:37:00Z</dcterms:created>
  <dcterms:modified xsi:type="dcterms:W3CDTF">2023-12-10T17:44:00Z</dcterms:modified>
</cp:coreProperties>
</file>