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pPr>
      <w:r w:rsidDel="00000000" w:rsidR="00000000" w:rsidRPr="00000000">
        <w:rPr>
          <w:rtl w:val="0"/>
        </w:rPr>
        <w:t xml:space="preserve">Jako vždy bych si nejdřív uvedla definici gramotnosti pro svou práci, abych upřesnila, o čem konkrétně mluvím. Gramotnost vnímám jako schopnost člověka číst a psát, rozumět jazyku.</w:t>
      </w:r>
    </w:p>
    <w:p w:rsidR="00000000" w:rsidDel="00000000" w:rsidP="00000000" w:rsidRDefault="00000000" w:rsidRPr="00000000" w14:paraId="00000002">
      <w:pPr>
        <w:spacing w:before="240" w:lineRule="auto"/>
        <w:rPr/>
      </w:pPr>
      <w:r w:rsidDel="00000000" w:rsidR="00000000" w:rsidRPr="00000000">
        <w:rPr>
          <w:rtl w:val="0"/>
        </w:rPr>
        <w:t xml:space="preserve">Máme tedy cílový jazyk, který se chceme naučit. Proces učení, tedy nabytí gramotnosti je postaven na struktuře didaktických zásad, které jsou různými způsoby a metodami skládány od jednoduššího ke složitějšímu. Nyní nemluvím o výsledném efektu, zda ta či ona zásada je pro mne více či méně účinná. Princip od jednoduššího ke složitějšímu můžeme uchopit různými způsoby. Můžu se nejprve naučit slovíčka, tedy fragmenty jazyka + jejich význam a až následně je skládat do souvislosti vět a delších textů. Nebo naopak začnu celými větami z oblastí, které jsou mi blízké. V této „blízkosti“ pak může být zmiňovaná jednoduchost a až později se učit jednotlivá slovíčka – což v tomto případě považuji za komplexnější část procesu učení. Nicméně se učím pomocí určitých didaktických zásad danému jazyku. V rámci nabývání gramotnosti je také na místě měření dosažené jazykové úrovně. Pro vzájemné porovnání znalostí osob v oblasti vzdělání a znalosti cizích jazyků v rámci Evropské unie nám slouží CEFR (The Common European Framework of Reference for Languages).</w:t>
      </w:r>
    </w:p>
    <w:p w:rsidR="00000000" w:rsidDel="00000000" w:rsidP="00000000" w:rsidRDefault="00000000" w:rsidRPr="00000000" w14:paraId="00000003">
      <w:pPr>
        <w:spacing w:before="240" w:lineRule="auto"/>
        <w:rPr/>
      </w:pPr>
      <w:r w:rsidDel="00000000" w:rsidR="00000000" w:rsidRPr="00000000">
        <w:rPr>
          <w:rtl w:val="0"/>
        </w:rPr>
        <w:t xml:space="preserve">Je-li má gramotnost již na postačující úrovni kvality znalostí takových, které mi umožňují plné zapojení se do života (práce, socializace, aktivity…), tedy je-li funkční, jde o funkční gramotnost.</w:t>
      </w:r>
    </w:p>
    <w:p w:rsidR="00000000" w:rsidDel="00000000" w:rsidP="00000000" w:rsidRDefault="00000000" w:rsidRPr="00000000" w14:paraId="00000004">
      <w:pPr>
        <w:spacing w:before="240" w:lineRule="auto"/>
        <w:rPr/>
      </w:pPr>
      <w:r w:rsidDel="00000000" w:rsidR="00000000" w:rsidRPr="00000000">
        <w:rPr>
          <w:rtl w:val="0"/>
        </w:rPr>
        <w:t xml:space="preserve"> </w:t>
      </w:r>
    </w:p>
    <w:p w:rsidR="00000000" w:rsidDel="00000000" w:rsidP="00000000" w:rsidRDefault="00000000" w:rsidRPr="00000000" w14:paraId="00000005">
      <w:pPr>
        <w:spacing w:before="240" w:lineRule="auto"/>
        <w:rPr/>
      </w:pPr>
      <w:r w:rsidDel="00000000" w:rsidR="00000000" w:rsidRPr="00000000">
        <w:rPr>
          <w:rtl w:val="0"/>
        </w:rPr>
        <w:t xml:space="preserve">V rámci mých již funkčních kompetencí k porozumění jazyku mohu v jazyku „chápat“ různé informace různým způsobem a nadále s nimi pracovat. Vnímám to jako kritickou práci s textem a informacemi a zde existují 3 typy funkční gramotnosti a to literární, dokumentová a numerická.</w:t>
      </w:r>
    </w:p>
    <w:p w:rsidR="00000000" w:rsidDel="00000000" w:rsidP="00000000" w:rsidRDefault="00000000" w:rsidRPr="00000000" w14:paraId="00000006">
      <w:pPr>
        <w:spacing w:before="240" w:lineRule="auto"/>
        <w:rPr/>
      </w:pPr>
      <w:r w:rsidDel="00000000" w:rsidR="00000000" w:rsidRPr="00000000">
        <w:rPr>
          <w:rtl w:val="0"/>
        </w:rPr>
        <w:t xml:space="preserve"> </w:t>
      </w:r>
    </w:p>
    <w:p w:rsidR="00000000" w:rsidDel="00000000" w:rsidP="00000000" w:rsidRDefault="00000000" w:rsidRPr="00000000" w14:paraId="00000007">
      <w:pPr>
        <w:spacing w:before="240" w:lineRule="auto"/>
        <w:rPr/>
      </w:pPr>
      <w:r w:rsidDel="00000000" w:rsidR="00000000" w:rsidRPr="00000000">
        <w:rPr>
          <w:rtl w:val="0"/>
        </w:rPr>
        <w:t xml:space="preserve">Jelikož je pojem gramotnosti velice obsáhlý a zahrnuje mnoho rovin, dále gramotnost dle NÚV dělíme dle oblasti, ve které jsme schopni se díky naší gramotnosti orientovat. Jde o čtenářskou, matematickou, přírodovědeckou, finanční a ICT (Informační a komunikační technologie) gramotnost.</w:t>
      </w:r>
    </w:p>
    <w:p w:rsidR="00000000" w:rsidDel="00000000" w:rsidP="00000000" w:rsidRDefault="00000000" w:rsidRPr="00000000" w14:paraId="00000008">
      <w:pPr>
        <w:spacing w:before="240" w:lineRule="auto"/>
        <w:rPr/>
      </w:pPr>
      <w:r w:rsidDel="00000000" w:rsidR="00000000" w:rsidRPr="00000000">
        <w:rPr>
          <w:rtl w:val="0"/>
        </w:rPr>
        <w:t xml:space="preserve">Já se chci zaměřit především na tu, které jsme se věnovaly my v předmětu Praktické aspekty vzdělávání neslyšících. Pokud se orientuji v textech a užívám je v kontextech, (sem patří porozumění textu různých úrovní) jde o čtenářskou gramotnost. Nutno podotknout, že nejde o kompetenci, kterou se naučím, a tudíž mohu číst a tím je věc uzavřena. Jde o mou vybavenost (schopnosti, znalosti, kompetence), která se celý život rozvíjí v závislosti na mém studiu, užívání textů. Jednoduše řečeno, v daném jazyce si osvojuji kompetence, které mi umožňují porozumět určitým textům.</w:t>
      </w:r>
    </w:p>
    <w:p w:rsidR="00000000" w:rsidDel="00000000" w:rsidP="00000000" w:rsidRDefault="00000000" w:rsidRPr="00000000" w14:paraId="00000009">
      <w:pPr>
        <w:spacing w:before="240" w:lineRule="auto"/>
        <w:rPr/>
      </w:pPr>
      <w:r w:rsidDel="00000000" w:rsidR="00000000" w:rsidRPr="00000000">
        <w:rPr>
          <w:rtl w:val="0"/>
        </w:rPr>
        <w:t xml:space="preserve">Gramotnost ovšem není jen o tom, že přímo přečtu nějaký text. Jde i o kompetence, které mi napomáhají k porozumění textu a připravují mne na práci s ním. Jde o předčtenářskou gramotnost, která je předstupněm čtenářské. Ve vzdělávání se usiluje o rozvíjení naší funkční gramotnosti. Existuje například </w:t>
      </w:r>
      <w:r w:rsidDel="00000000" w:rsidR="00000000" w:rsidRPr="00000000">
        <w:rPr>
          <w:i w:val="1"/>
          <w:rtl w:val="0"/>
        </w:rPr>
        <w:t xml:space="preserve">Plán rozvoje funkční gramotnosti dětí předškolního věku.</w:t>
      </w:r>
      <w:r w:rsidDel="00000000" w:rsidR="00000000" w:rsidRPr="00000000">
        <w:rPr>
          <w:rtl w:val="0"/>
        </w:rPr>
        <w:t xml:space="preserve"> V rámci takového plánu jsou vypracovány konkrétní materiály, které mají pomoci učitelům při rozvíjení jazykových kompetencí dětí.</w:t>
      </w:r>
    </w:p>
    <w:p w:rsidR="00000000" w:rsidDel="00000000" w:rsidP="00000000" w:rsidRDefault="00000000" w:rsidRPr="00000000" w14:paraId="0000000A">
      <w:pPr>
        <w:spacing w:before="240" w:lineRule="auto"/>
        <w:rPr/>
      </w:pPr>
      <w:r w:rsidDel="00000000" w:rsidR="00000000" w:rsidRPr="00000000">
        <w:rPr>
          <w:rtl w:val="0"/>
        </w:rPr>
        <w:t xml:space="preserve">V rámci studia jsem našla tipy na Rozvoj čtenářské gramotnosti, české a zahraniční inspirace od vzdělávacího programu (Centrum DVPPP[1]) z Jihočeské univerzity v Českých Budějovicích.</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čtenářské strategie - rozvoj</w:t>
      </w:r>
    </w:p>
    <w:p w:rsidR="00000000" w:rsidDel="00000000" w:rsidP="00000000" w:rsidRDefault="00000000" w:rsidRPr="00000000" w14:paraId="0000000D">
      <w:pPr>
        <w:ind w:left="1840" w:hanging="36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beletristické texty</w:t>
      </w:r>
    </w:p>
    <w:p w:rsidR="00000000" w:rsidDel="00000000" w:rsidP="00000000" w:rsidRDefault="00000000" w:rsidRPr="00000000" w14:paraId="0000000E">
      <w:pPr>
        <w:numPr>
          <w:ilvl w:val="2"/>
          <w:numId w:val="2"/>
        </w:numPr>
        <w:ind w:left="2880" w:hanging="360"/>
        <w:rPr>
          <w:u w:val="none"/>
        </w:rPr>
      </w:pPr>
      <w:r w:rsidDel="00000000" w:rsidR="00000000" w:rsidRPr="00000000">
        <w:rPr>
          <w:rtl w:val="0"/>
        </w:rPr>
        <w:t xml:space="preserve">rozvoj čtenářství - ukázky atraktivních textů, zážitkové metody, některé metody dramatické výchovy.</w:t>
      </w:r>
    </w:p>
    <w:p w:rsidR="00000000" w:rsidDel="00000000" w:rsidP="00000000" w:rsidRDefault="00000000" w:rsidRPr="00000000" w14:paraId="0000000F">
      <w:pPr>
        <w:numPr>
          <w:ilvl w:val="2"/>
          <w:numId w:val="2"/>
        </w:numPr>
        <w:ind w:left="288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metody vhodné pro práci s uměleckými texty</w:t>
      </w:r>
    </w:p>
    <w:p w:rsidR="00000000" w:rsidDel="00000000" w:rsidP="00000000" w:rsidRDefault="00000000" w:rsidRPr="00000000" w14:paraId="00000010">
      <w:pPr>
        <w:numPr>
          <w:ilvl w:val="1"/>
          <w:numId w:val="2"/>
        </w:numPr>
        <w:ind w:left="2160" w:hanging="360"/>
        <w:rPr>
          <w:u w:val="non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naučné texty</w:t>
      </w:r>
    </w:p>
    <w:p w:rsidR="00000000" w:rsidDel="00000000" w:rsidP="00000000" w:rsidRDefault="00000000" w:rsidRPr="00000000" w14:paraId="00000011">
      <w:pPr>
        <w:numPr>
          <w:ilvl w:val="2"/>
          <w:numId w:val="2"/>
        </w:numPr>
        <w:ind w:left="2880" w:hanging="360"/>
        <w:rPr>
          <w:u w:val="none"/>
        </w:rPr>
      </w:pPr>
      <w:r w:rsidDel="00000000" w:rsidR="00000000" w:rsidRPr="00000000">
        <w:rPr>
          <w:rtl w:val="0"/>
        </w:rPr>
        <w:t xml:space="preserve">Metody vhodné pro práci s naučnými texty, čtenářské strategie rozvíjené při práci s naučnými texty, čtenářské strategie a CLIL[2]</w:t>
      </w:r>
    </w:p>
    <w:p w:rsidR="00000000" w:rsidDel="00000000" w:rsidP="00000000" w:rsidRDefault="00000000" w:rsidRPr="00000000" w14:paraId="00000012">
      <w:pPr>
        <w:numPr>
          <w:ilvl w:val="1"/>
          <w:numId w:val="2"/>
        </w:numPr>
        <w:ind w:left="2160" w:hanging="360"/>
        <w:rPr>
          <w:u w:val="non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Ostatní texty</w:t>
      </w:r>
    </w:p>
    <w:p w:rsidR="00000000" w:rsidDel="00000000" w:rsidP="00000000" w:rsidRDefault="00000000" w:rsidRPr="00000000" w14:paraId="00000013">
      <w:pPr>
        <w:numPr>
          <w:ilvl w:val="2"/>
          <w:numId w:val="2"/>
        </w:numPr>
        <w:ind w:left="2880" w:hanging="360"/>
        <w:rPr>
          <w:u w:val="none"/>
        </w:rPr>
      </w:pPr>
      <w:r w:rsidDel="00000000" w:rsidR="00000000" w:rsidRPr="00000000">
        <w:rPr>
          <w:rtl w:val="0"/>
        </w:rPr>
        <w:t xml:space="preserve">Práce s písničkou, návodem, digitálními texty</w:t>
      </w:r>
    </w:p>
    <w:p w:rsidR="00000000" w:rsidDel="00000000" w:rsidP="00000000" w:rsidRDefault="00000000" w:rsidRPr="00000000" w14:paraId="00000014">
      <w:pPr>
        <w:ind w:left="0" w:firstLine="0"/>
        <w:rPr/>
      </w:pPr>
      <w:r w:rsidDel="00000000" w:rsidR="00000000" w:rsidRPr="00000000">
        <w:rPr>
          <w:rtl w:val="0"/>
        </w:rPr>
        <w:t xml:space="preserve">Projekty vhodné k rozvoji čtenářství a čtenářské gramotnosti</w:t>
      </w:r>
    </w:p>
    <w:p w:rsidR="00000000" w:rsidDel="00000000" w:rsidP="00000000" w:rsidRDefault="00000000" w:rsidRPr="00000000" w14:paraId="00000015">
      <w:pPr>
        <w:numPr>
          <w:ilvl w:val="1"/>
          <w:numId w:val="2"/>
        </w:numPr>
        <w:ind w:left="2160" w:hanging="360"/>
        <w:rPr>
          <w:u w:val="none"/>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Čtenářské dílny</w:t>
      </w:r>
    </w:p>
    <w:p w:rsidR="00000000" w:rsidDel="00000000" w:rsidP="00000000" w:rsidRDefault="00000000" w:rsidRPr="00000000" w14:paraId="00000016">
      <w:pPr>
        <w:numPr>
          <w:ilvl w:val="2"/>
          <w:numId w:val="2"/>
        </w:numPr>
        <w:ind w:left="2880" w:hanging="360"/>
        <w:rPr>
          <w:u w:val="none"/>
        </w:rPr>
      </w:pPr>
      <w:r w:rsidDel="00000000" w:rsidR="00000000" w:rsidRPr="00000000">
        <w:rPr>
          <w:rtl w:val="0"/>
        </w:rPr>
        <w:t xml:space="preserve">metody a čtenářské strategie využívané v čtenářských dílnách</w:t>
      </w:r>
    </w:p>
    <w:p w:rsidR="00000000" w:rsidDel="00000000" w:rsidP="00000000" w:rsidRDefault="00000000" w:rsidRPr="00000000" w14:paraId="00000017">
      <w:pPr>
        <w:ind w:left="1840" w:hanging="36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numPr>
          <w:ilvl w:val="0"/>
          <w:numId w:val="1"/>
        </w:numPr>
        <w:ind w:left="216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Tvorba knihovničky.</w:t>
      </w:r>
    </w:p>
    <w:p w:rsidR="00000000" w:rsidDel="00000000" w:rsidP="00000000" w:rsidRDefault="00000000" w:rsidRPr="00000000" w14:paraId="00000019">
      <w:pPr>
        <w:ind w:left="11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Opora (scaffolding) – různé typy opor poskytovaných během práce žákům</w:t>
      </w:r>
    </w:p>
    <w:p w:rsidR="00000000" w:rsidDel="00000000" w:rsidP="00000000" w:rsidRDefault="00000000" w:rsidRPr="00000000" w14:paraId="0000001A">
      <w:pPr>
        <w:ind w:left="1120" w:hanging="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Koncept hodnotících listů - žákovský a učitelský list,</w:t>
      </w:r>
    </w:p>
    <w:p w:rsidR="00000000" w:rsidDel="00000000" w:rsidP="00000000" w:rsidRDefault="00000000" w:rsidRPr="00000000" w14:paraId="0000001B">
      <w:pPr>
        <w:spacing w:before="240" w:lineRule="auto"/>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sz w:val="20"/>
          <w:szCs w:val="20"/>
          <w:rtl w:val="0"/>
        </w:rPr>
        <w:t xml:space="preserve">[1]</w:t>
      </w:r>
      <w:r w:rsidDel="00000000" w:rsidR="00000000" w:rsidRPr="00000000">
        <w:rPr>
          <w:rtl w:val="0"/>
        </w:rPr>
        <w:t xml:space="preserve"> Další vzdělávání pedagogických pracovníků</w:t>
      </w:r>
    </w:p>
    <w:p w:rsidR="00000000" w:rsidDel="00000000" w:rsidP="00000000" w:rsidRDefault="00000000" w:rsidRPr="00000000" w14:paraId="0000001F">
      <w:pPr>
        <w:spacing w:after="240" w:before="240" w:lineRule="auto"/>
        <w:rPr/>
      </w:pPr>
      <w:r w:rsidDel="00000000" w:rsidR="00000000" w:rsidRPr="00000000">
        <w:rPr>
          <w:sz w:val="20"/>
          <w:szCs w:val="20"/>
          <w:rtl w:val="0"/>
        </w:rPr>
        <w:t xml:space="preserve">[2]</w:t>
      </w:r>
      <w:r w:rsidDel="00000000" w:rsidR="00000000" w:rsidRPr="00000000">
        <w:rPr>
          <w:rtl w:val="0"/>
        </w:rPr>
        <w:t xml:space="preserve"> Content and Language Integrated Learning; dualita cílů, výuka nejazykového předmětu v jiném jazyce</w:t>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