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823EA2">
      <w:pPr>
        <w:pBdr>
          <w:bottom w:val="single" w:sz="8" w:space="2" w:color="000000"/>
        </w:pBdr>
        <w:rPr>
          <w:sz w:val="20"/>
          <w:szCs w:val="20"/>
          <w:lang w:val="en-US"/>
        </w:rPr>
      </w:pPr>
      <w:r>
        <w:rPr>
          <w:sz w:val="20"/>
          <w:szCs w:val="20"/>
          <w:lang w:val="en-US"/>
        </w:rPr>
        <w:t>AQCI #2</w:t>
      </w:r>
    </w:p>
    <w:p w:rsidR="00000000" w:rsidRDefault="00823EA2">
      <w:pPr>
        <w:rPr>
          <w:sz w:val="20"/>
          <w:szCs w:val="20"/>
          <w:lang w:val="en-US"/>
        </w:rPr>
      </w:pPr>
      <w:r>
        <w:rPr>
          <w:sz w:val="20"/>
          <w:szCs w:val="20"/>
          <w:lang w:val="en-US"/>
        </w:rPr>
        <w:t xml:space="preserve">Lecture : Multiculturalism in Western Europe and North America </w:t>
      </w:r>
    </w:p>
    <w:p w:rsidR="00000000" w:rsidRDefault="00823EA2">
      <w:pPr>
        <w:rPr>
          <w:sz w:val="20"/>
          <w:szCs w:val="20"/>
          <w:lang w:val="en-US"/>
        </w:rPr>
      </w:pPr>
      <w:r>
        <w:rPr>
          <w:sz w:val="20"/>
          <w:szCs w:val="20"/>
          <w:lang w:val="en-US"/>
        </w:rPr>
        <w:t>Lecturer : Dr.</w:t>
      </w:r>
      <w:r>
        <w:rPr>
          <w:sz w:val="20"/>
          <w:szCs w:val="20"/>
        </w:rPr>
        <w:t>Antonin Mikes</w:t>
      </w:r>
    </w:p>
    <w:p w:rsidR="00000000" w:rsidRDefault="00823EA2">
      <w:pPr>
        <w:rPr>
          <w:sz w:val="20"/>
          <w:szCs w:val="20"/>
          <w:lang w:val="en-US"/>
        </w:rPr>
      </w:pPr>
      <w:r>
        <w:rPr>
          <w:sz w:val="20"/>
          <w:szCs w:val="20"/>
          <w:lang w:val="en-US"/>
        </w:rPr>
        <w:t>Student : Thomas ALLEAUME</w:t>
      </w:r>
    </w:p>
    <w:p w:rsidR="00000000" w:rsidRDefault="00823EA2">
      <w:pPr>
        <w:rPr>
          <w:sz w:val="20"/>
          <w:szCs w:val="20"/>
          <w:lang w:val="en-US"/>
        </w:rPr>
      </w:pPr>
      <w:r>
        <w:rPr>
          <w:sz w:val="20"/>
          <w:szCs w:val="20"/>
          <w:lang w:val="en-US"/>
        </w:rPr>
        <w:t>Date : 25.03.2019</w:t>
      </w:r>
    </w:p>
    <w:p w:rsidR="00000000" w:rsidRDefault="00823EA2">
      <w:pPr>
        <w:rPr>
          <w:sz w:val="20"/>
          <w:szCs w:val="20"/>
          <w:lang w:val="en-US"/>
        </w:rPr>
      </w:pPr>
      <w:r>
        <w:rPr>
          <w:sz w:val="20"/>
          <w:szCs w:val="20"/>
          <w:lang w:val="en-US"/>
        </w:rPr>
        <w:t>AQCI : de Swaan, Abram, “Dyscivilization, Mass Extermination and the State”, 2000, Levianthan, pp. 265-276</w:t>
      </w:r>
    </w:p>
    <w:p w:rsidR="00000000" w:rsidRDefault="00823EA2">
      <w:pPr>
        <w:widowControl/>
        <w:spacing w:line="100" w:lineRule="atLeast"/>
        <w:rPr>
          <w:sz w:val="20"/>
          <w:szCs w:val="20"/>
          <w:lang w:val="en-US"/>
        </w:rPr>
      </w:pPr>
    </w:p>
    <w:p w:rsidR="00000000" w:rsidRDefault="00823EA2">
      <w:pPr>
        <w:widowControl/>
        <w:spacing w:line="100" w:lineRule="atLeast"/>
        <w:rPr>
          <w:sz w:val="20"/>
          <w:szCs w:val="20"/>
          <w:lang w:val="en-US"/>
        </w:rPr>
      </w:pPr>
    </w:p>
    <w:p w:rsidR="00000000" w:rsidRDefault="00823EA2">
      <w:pPr>
        <w:widowControl/>
        <w:spacing w:line="100" w:lineRule="atLeast"/>
        <w:rPr>
          <w:sz w:val="20"/>
          <w:szCs w:val="20"/>
          <w:lang w:val="en-US"/>
        </w:rPr>
      </w:pPr>
    </w:p>
    <w:p w:rsidR="00000000" w:rsidRDefault="00823EA2">
      <w:pPr>
        <w:widowControl/>
        <w:spacing w:line="100" w:lineRule="atLeast"/>
        <w:rPr>
          <w:sz w:val="20"/>
          <w:szCs w:val="20"/>
          <w:lang w:val="en-US"/>
        </w:rPr>
      </w:pPr>
      <w:r>
        <w:rPr>
          <w:b/>
          <w:bCs/>
          <w:sz w:val="20"/>
          <w:szCs w:val="20"/>
          <w:lang w:val="en-US"/>
        </w:rPr>
        <w:t>1.</w:t>
      </w:r>
      <w:r>
        <w:rPr>
          <w:b/>
          <w:bCs/>
          <w:sz w:val="20"/>
          <w:szCs w:val="20"/>
          <w:lang w:val="en-US"/>
        </w:rPr>
        <w:t>Central quotation</w:t>
      </w:r>
    </w:p>
    <w:p w:rsidR="00000000" w:rsidRDefault="00823EA2">
      <w:pPr>
        <w:widowControl/>
        <w:spacing w:line="100" w:lineRule="atLeast"/>
        <w:rPr>
          <w:b/>
          <w:bCs/>
          <w:sz w:val="20"/>
          <w:szCs w:val="20"/>
          <w:lang w:val="en-US"/>
        </w:rPr>
      </w:pPr>
      <w:r>
        <w:rPr>
          <w:sz w:val="20"/>
          <w:szCs w:val="20"/>
          <w:lang w:val="en-US"/>
        </w:rPr>
        <w:t>“</w:t>
      </w:r>
      <w:r>
        <w:rPr>
          <w:sz w:val="20"/>
          <w:szCs w:val="20"/>
          <w:lang w:val="en-US"/>
        </w:rPr>
        <w:t>What adds much interest to his detailed account is Wacquant's explicit analysis in terms of “decivilization” : as the State withdraws from the inner-city areas, chains of interdependence break down, self-restraints disintegrate, “depacif</w:t>
      </w:r>
      <w:r>
        <w:rPr>
          <w:sz w:val="20"/>
          <w:szCs w:val="20"/>
          <w:lang w:val="en-US"/>
        </w:rPr>
        <w:t>ication” proceeds as violence proliferates without the police intervening anymore.” (de Swaan, Abram, p271)</w:t>
      </w:r>
    </w:p>
    <w:p w:rsidR="00000000" w:rsidRDefault="00823EA2">
      <w:pPr>
        <w:widowControl/>
        <w:spacing w:line="100" w:lineRule="atLeast"/>
        <w:rPr>
          <w:sz w:val="20"/>
          <w:szCs w:val="20"/>
          <w:lang w:val="en-US"/>
        </w:rPr>
      </w:pPr>
      <w:r>
        <w:rPr>
          <w:b/>
          <w:bCs/>
          <w:sz w:val="20"/>
          <w:szCs w:val="20"/>
          <w:lang w:val="en-US"/>
        </w:rPr>
        <w:t>2.Argument</w:t>
      </w:r>
    </w:p>
    <w:p w:rsidR="00000000" w:rsidRDefault="00823EA2">
      <w:pPr>
        <w:widowControl/>
        <w:spacing w:line="100" w:lineRule="atLeast"/>
        <w:rPr>
          <w:b/>
          <w:bCs/>
          <w:sz w:val="20"/>
          <w:szCs w:val="20"/>
          <w:lang w:val="en-US"/>
        </w:rPr>
      </w:pPr>
      <w:r>
        <w:rPr>
          <w:sz w:val="20"/>
          <w:szCs w:val="20"/>
          <w:lang w:val="en-US"/>
        </w:rPr>
        <w:t>Abram de Swaan uses Loïc Wacquant's “ghettoization” theory to describe how the management of the urban space by most of the Western State</w:t>
      </w:r>
      <w:r>
        <w:rPr>
          <w:sz w:val="20"/>
          <w:szCs w:val="20"/>
          <w:lang w:val="en-US"/>
        </w:rPr>
        <w:t xml:space="preserve">s leads to an implicit urban separation and ghettoization of low social classes and racial minorities. As the author depicts it, racial ghettoization is the result of the “rationality and modernity” ideology. This specific process is one of the main point </w:t>
      </w:r>
      <w:r>
        <w:rPr>
          <w:sz w:val="20"/>
          <w:szCs w:val="20"/>
          <w:lang w:val="en-US"/>
        </w:rPr>
        <w:t>on which a society can transform from a liberal and democratic society to a totalitarian one. In Wacquant's theory, the “underclass” (which can be seen as the ethnic minorities lower class, often being forced or willing to live together) is cloistered in u</w:t>
      </w:r>
      <w:r>
        <w:rPr>
          <w:sz w:val="20"/>
          <w:szCs w:val="20"/>
          <w:lang w:val="en-US"/>
        </w:rPr>
        <w:t>rban zones that lack social or economic links with the society due to the State inaction (or intentional disengagement).</w:t>
      </w:r>
    </w:p>
    <w:p w:rsidR="00000000" w:rsidRDefault="00823EA2">
      <w:pPr>
        <w:widowControl/>
        <w:spacing w:line="100" w:lineRule="atLeast"/>
        <w:rPr>
          <w:sz w:val="20"/>
          <w:szCs w:val="20"/>
          <w:lang w:val="en-US"/>
        </w:rPr>
      </w:pPr>
      <w:r>
        <w:rPr>
          <w:b/>
          <w:bCs/>
          <w:sz w:val="20"/>
          <w:szCs w:val="20"/>
          <w:lang w:val="en-US"/>
        </w:rPr>
        <w:t>3.Question</w:t>
      </w:r>
    </w:p>
    <w:p w:rsidR="00000000" w:rsidRDefault="00823EA2">
      <w:pPr>
        <w:widowControl/>
        <w:spacing w:line="100" w:lineRule="atLeast"/>
        <w:rPr>
          <w:b/>
          <w:bCs/>
          <w:sz w:val="20"/>
          <w:szCs w:val="20"/>
          <w:lang w:val="en-US"/>
        </w:rPr>
      </w:pPr>
      <w:r>
        <w:rPr>
          <w:sz w:val="20"/>
          <w:szCs w:val="20"/>
          <w:lang w:val="en-US"/>
        </w:rPr>
        <w:t>Considering Wacquant's “ghettoization” theory and de Swaan's use of it to point out the risks of the derivations of modernit</w:t>
      </w:r>
      <w:r>
        <w:rPr>
          <w:sz w:val="20"/>
          <w:szCs w:val="20"/>
          <w:lang w:val="en-US"/>
        </w:rPr>
        <w:t>y, is this “ghettoization” process only the result of  an intentional State symbolic and spatial violence policy that is willing to segregate the urban sectors and which actors can overcome this situation in order to restore the well-being of our societies</w:t>
      </w:r>
      <w:r>
        <w:rPr>
          <w:sz w:val="20"/>
          <w:szCs w:val="20"/>
          <w:lang w:val="en-US"/>
        </w:rPr>
        <w:t>?</w:t>
      </w:r>
    </w:p>
    <w:p w:rsidR="00000000" w:rsidRDefault="00823EA2">
      <w:pPr>
        <w:widowControl/>
        <w:spacing w:line="100" w:lineRule="atLeast"/>
        <w:rPr>
          <w:sz w:val="20"/>
          <w:szCs w:val="20"/>
          <w:lang w:val="en-US"/>
        </w:rPr>
      </w:pPr>
      <w:r>
        <w:rPr>
          <w:b/>
          <w:bCs/>
          <w:sz w:val="20"/>
          <w:szCs w:val="20"/>
          <w:lang w:val="en-US"/>
        </w:rPr>
        <w:t>4.Experimental connection</w:t>
      </w:r>
    </w:p>
    <w:p w:rsidR="00000000" w:rsidRDefault="00823EA2">
      <w:pPr>
        <w:widowControl/>
        <w:spacing w:line="100" w:lineRule="atLeast"/>
        <w:rPr>
          <w:b/>
          <w:bCs/>
          <w:sz w:val="20"/>
          <w:szCs w:val="20"/>
          <w:lang w:val="en-US"/>
        </w:rPr>
      </w:pPr>
      <w:r>
        <w:rPr>
          <w:sz w:val="20"/>
          <w:szCs w:val="20"/>
          <w:lang w:val="en-US"/>
        </w:rPr>
        <w:t>This question points out many aspects that could apply to the everyday life of our modern Western societies. I think that there is a certain connection with post-modernism as our Western governments tends to focus on the pure ec</w:t>
      </w:r>
      <w:r>
        <w:rPr>
          <w:sz w:val="20"/>
          <w:szCs w:val="20"/>
          <w:lang w:val="en-US"/>
        </w:rPr>
        <w:t>onomic interests and decrease their welfare budget (through educational, transport policies or affirmative actions) as it brings no benefit for them. However, I think that, in a sense, in France in particular or even more in Germany, immigrants families te</w:t>
      </w:r>
      <w:r>
        <w:rPr>
          <w:sz w:val="20"/>
          <w:szCs w:val="20"/>
          <w:lang w:val="en-US"/>
        </w:rPr>
        <w:t>nd to live together in specific urban areas that fits their expectations (such as low-budget housing, low pressure on cultural confirmity and spaces to express their identity). It means that when first generation immigrants arrive in a country, they are of</w:t>
      </w:r>
      <w:r>
        <w:rPr>
          <w:sz w:val="20"/>
          <w:szCs w:val="20"/>
          <w:lang w:val="en-US"/>
        </w:rPr>
        <w:t>ten confronted to a cultural gap and want to live within urban communities that allow them to be at ease with the expression of their identity. For example, in France, I live in a 30,000 inhabitants city in which most of the latter generation of immigrants</w:t>
      </w:r>
      <w:r>
        <w:rPr>
          <w:sz w:val="20"/>
          <w:szCs w:val="20"/>
          <w:lang w:val="en-US"/>
        </w:rPr>
        <w:t xml:space="preserve"> (mostly Afghan refugees) live together because of their social conditions but also because they don't want face acculturation. </w:t>
      </w:r>
    </w:p>
    <w:p w:rsidR="00000000" w:rsidRDefault="00823EA2">
      <w:pPr>
        <w:widowControl/>
        <w:spacing w:line="100" w:lineRule="atLeast"/>
        <w:rPr>
          <w:sz w:val="20"/>
          <w:szCs w:val="20"/>
          <w:lang w:val="en-US"/>
        </w:rPr>
      </w:pPr>
      <w:r>
        <w:rPr>
          <w:b/>
          <w:bCs/>
          <w:sz w:val="20"/>
          <w:szCs w:val="20"/>
          <w:lang w:val="en-US"/>
        </w:rPr>
        <w:t>5.Textual connection</w:t>
      </w:r>
    </w:p>
    <w:p w:rsidR="00000000" w:rsidRDefault="00823EA2">
      <w:pPr>
        <w:widowControl/>
        <w:spacing w:line="100" w:lineRule="atLeast"/>
        <w:rPr>
          <w:b/>
          <w:bCs/>
          <w:sz w:val="20"/>
          <w:szCs w:val="20"/>
          <w:lang w:val="en-US"/>
        </w:rPr>
      </w:pPr>
      <w:r>
        <w:rPr>
          <w:sz w:val="20"/>
          <w:szCs w:val="20"/>
          <w:lang w:val="en-US"/>
        </w:rPr>
        <w:t>A famous American sociologist delivered further analysis on the social “ghettoization” of  the African-Ame</w:t>
      </w:r>
      <w:r>
        <w:rPr>
          <w:sz w:val="20"/>
          <w:szCs w:val="20"/>
          <w:lang w:val="en-US"/>
        </w:rPr>
        <w:t>rican  lower-class in specific segregated zones of urban areas. In his 1987 book, he stated that the process of urban isolation of “underclass” in American cities is mostly due to “concentration effects”</w:t>
      </w:r>
      <w:r>
        <w:rPr>
          <w:rStyle w:val="Appelnotedebasdep"/>
          <w:sz w:val="20"/>
          <w:szCs w:val="20"/>
          <w:lang w:val="en-US"/>
        </w:rPr>
        <w:footnoteReference w:id="1"/>
      </w:r>
      <w:r>
        <w:rPr>
          <w:sz w:val="20"/>
          <w:szCs w:val="20"/>
          <w:lang w:val="en-US"/>
        </w:rPr>
        <w:t xml:space="preserve"> which means the lack of opportunities to get out of</w:t>
      </w:r>
      <w:r>
        <w:rPr>
          <w:sz w:val="20"/>
          <w:szCs w:val="20"/>
          <w:lang w:val="en-US"/>
        </w:rPr>
        <w:t xml:space="preserve"> the ghetto because of the social conditions. Indeed, if a the majority of a neighborhood lives “socially disadvantaged” conditions, it will be hard for its population to evolve into a higher social position and to increase the well-being of the area.</w:t>
      </w:r>
    </w:p>
    <w:p w:rsidR="00000000" w:rsidRDefault="00823EA2">
      <w:pPr>
        <w:widowControl/>
        <w:spacing w:line="100" w:lineRule="atLeast"/>
        <w:rPr>
          <w:sz w:val="20"/>
          <w:szCs w:val="20"/>
          <w:lang w:val="en-US"/>
        </w:rPr>
      </w:pPr>
      <w:r>
        <w:rPr>
          <w:b/>
          <w:bCs/>
          <w:sz w:val="20"/>
          <w:szCs w:val="20"/>
          <w:lang w:val="en-US"/>
        </w:rPr>
        <w:t>6.Im</w:t>
      </w:r>
      <w:r>
        <w:rPr>
          <w:b/>
          <w:bCs/>
          <w:sz w:val="20"/>
          <w:szCs w:val="20"/>
          <w:lang w:val="en-US"/>
        </w:rPr>
        <w:t>plications</w:t>
      </w:r>
    </w:p>
    <w:p w:rsidR="00000000" w:rsidRDefault="00823EA2">
      <w:pPr>
        <w:widowControl/>
        <w:spacing w:line="100" w:lineRule="atLeast"/>
        <w:rPr>
          <w:sz w:val="20"/>
          <w:szCs w:val="20"/>
          <w:lang w:val="en-US"/>
        </w:rPr>
      </w:pPr>
      <w:r>
        <w:rPr>
          <w:sz w:val="20"/>
          <w:szCs w:val="20"/>
          <w:lang w:val="en-US"/>
        </w:rPr>
        <w:t>First, one must know that the contexts between the Northern American and the Western Europe situation. In Northern American countries, the urban social construction is much more recent and specifically segregated into ethnic closed communities t</w:t>
      </w:r>
      <w:r>
        <w:rPr>
          <w:sz w:val="20"/>
          <w:szCs w:val="20"/>
          <w:lang w:val="en-US"/>
        </w:rPr>
        <w:t>han in Western Europe. Indeed, in Europe, I think the urban disparities are much more the result of economic inequalities and social classes distinctions. For example, during the 18</w:t>
      </w:r>
      <w:r>
        <w:rPr>
          <w:sz w:val="20"/>
          <w:szCs w:val="20"/>
          <w:vertAlign w:val="superscript"/>
          <w:lang w:val="en-US"/>
        </w:rPr>
        <w:t>th</w:t>
      </w:r>
      <w:r>
        <w:rPr>
          <w:sz w:val="20"/>
          <w:szCs w:val="20"/>
          <w:lang w:val="en-US"/>
        </w:rPr>
        <w:t xml:space="preserve"> and 19</w:t>
      </w:r>
      <w:r>
        <w:rPr>
          <w:sz w:val="20"/>
          <w:szCs w:val="20"/>
          <w:vertAlign w:val="superscript"/>
          <w:lang w:val="en-US"/>
        </w:rPr>
        <w:t>th</w:t>
      </w:r>
      <w:r>
        <w:rPr>
          <w:sz w:val="20"/>
          <w:szCs w:val="20"/>
          <w:lang w:val="en-US"/>
        </w:rPr>
        <w:t xml:space="preserve"> century, the new industrial working class was installed were mu</w:t>
      </w:r>
      <w:r>
        <w:rPr>
          <w:sz w:val="20"/>
          <w:szCs w:val="20"/>
          <w:lang w:val="en-US"/>
        </w:rPr>
        <w:t>ch more in the center of cities. I think that the solutions to the social exclusion and ghettoization of a specific part of the population should not be the same in Northern America and in Western Europe as the contexts are not the same. To fight the “dysc</w:t>
      </w:r>
      <w:r>
        <w:rPr>
          <w:sz w:val="20"/>
          <w:szCs w:val="20"/>
          <w:lang w:val="en-US"/>
        </w:rPr>
        <w:t>ivilizing” process in those specific areas, I suggest that national governments should comprehend the well-being of our societies as not only the economic well-being but also the human togetherness. As I think a society is stronger if it accepts and integr</w:t>
      </w:r>
      <w:r>
        <w:rPr>
          <w:sz w:val="20"/>
          <w:szCs w:val="20"/>
          <w:lang w:val="en-US"/>
        </w:rPr>
        <w:t>ate its ethnic minorities, I suggest that the national governments should consider giving more financial assets to local institutions such as the city councils in order to manage transportation, healthcare, educational policies better. It also means that c</w:t>
      </w:r>
      <w:r>
        <w:rPr>
          <w:sz w:val="20"/>
          <w:szCs w:val="20"/>
          <w:lang w:val="en-US"/>
        </w:rPr>
        <w:t>ities must bring people together again and construct more social links through the construction of social-housing or more city-owned housing in city centers.</w:t>
      </w:r>
    </w:p>
    <w:p w:rsidR="00000000" w:rsidRDefault="00823EA2">
      <w:pPr>
        <w:widowControl/>
        <w:spacing w:line="100" w:lineRule="atLeast"/>
        <w:rPr>
          <w:sz w:val="20"/>
          <w:szCs w:val="20"/>
          <w:lang w:val="en-US"/>
        </w:rPr>
      </w:pPr>
    </w:p>
    <w:p w:rsidR="00000000" w:rsidRDefault="00823EA2">
      <w:pPr>
        <w:widowControl/>
        <w:spacing w:line="100" w:lineRule="atLeast"/>
        <w:rPr>
          <w:sz w:val="20"/>
          <w:szCs w:val="20"/>
          <w:lang w:val="en-US"/>
        </w:rPr>
      </w:pPr>
    </w:p>
    <w:p w:rsidR="00000000" w:rsidRDefault="00823EA2">
      <w:pPr>
        <w:sectPr w:rsidR="00000000">
          <w:pgSz w:w="11906" w:h="16838"/>
          <w:pgMar w:top="1134" w:right="1134" w:bottom="1134" w:left="1134" w:header="720" w:footer="720" w:gutter="0"/>
          <w:cols w:space="720"/>
        </w:sectPr>
      </w:pPr>
    </w:p>
    <w:p w:rsidR="00000000" w:rsidRDefault="00823EA2">
      <w:pPr>
        <w:jc w:val="center"/>
        <w:rPr>
          <w:rFonts w:ascii="Arial" w:hAnsi="Arial" w:cs="Arial"/>
          <w:sz w:val="20"/>
          <w:szCs w:val="20"/>
        </w:rPr>
      </w:pPr>
      <w:r>
        <w:rPr>
          <w:rStyle w:val="lev"/>
          <w:rFonts w:ascii="Arial" w:hAnsi="Arial" w:cs="Arial"/>
          <w:sz w:val="20"/>
          <w:szCs w:val="20"/>
        </w:rPr>
        <w:lastRenderedPageBreak/>
        <w:t>Sample Self assessment form</w:t>
      </w:r>
    </w:p>
    <w:p w:rsidR="00000000" w:rsidRDefault="00823EA2">
      <w:pPr>
        <w:jc w:val="center"/>
        <w:rPr>
          <w:rFonts w:ascii="Arial" w:hAnsi="Arial" w:cs="Arial"/>
          <w:sz w:val="20"/>
          <w:szCs w:val="20"/>
        </w:rPr>
      </w:pPr>
      <w:r>
        <w:rPr>
          <w:rFonts w:ascii="Arial" w:hAnsi="Arial" w:cs="Arial"/>
          <w:sz w:val="20"/>
          <w:szCs w:val="20"/>
        </w:rPr>
        <w:t>Department of Western European Studies, Faculty of Social Sciences,</w:t>
      </w:r>
      <w:r>
        <w:rPr>
          <w:rFonts w:ascii="Arial" w:hAnsi="Arial" w:cs="Arial"/>
          <w:sz w:val="20"/>
          <w:szCs w:val="20"/>
        </w:rPr>
        <w:t xml:space="preserve"> Charles University</w:t>
      </w:r>
    </w:p>
    <w:p w:rsidR="00000000" w:rsidRDefault="00823EA2">
      <w:pPr>
        <w:jc w:val="center"/>
        <w:rPr>
          <w:rFonts w:ascii="Arial" w:hAnsi="Arial" w:cs="Arial"/>
          <w:sz w:val="20"/>
          <w:szCs w:val="20"/>
        </w:rPr>
      </w:pPr>
    </w:p>
    <w:p w:rsidR="00000000" w:rsidRDefault="00823EA2">
      <w:pPr>
        <w:jc w:val="center"/>
        <w:rPr>
          <w:rFonts w:ascii="Arial" w:hAnsi="Arial" w:cs="Arial"/>
          <w:sz w:val="20"/>
          <w:szCs w:val="20"/>
        </w:rPr>
      </w:pPr>
      <w:r>
        <w:rPr>
          <w:rFonts w:ascii="Arial" w:hAnsi="Arial" w:cs="Arial"/>
          <w:b/>
          <w:sz w:val="20"/>
          <w:szCs w:val="20"/>
        </w:rPr>
        <w:t>AQCI ASSESSMENT FORM</w:t>
      </w:r>
    </w:p>
    <w:p w:rsidR="00000000" w:rsidRDefault="00823EA2">
      <w:pPr>
        <w:jc w:val="center"/>
        <w:rPr>
          <w:rFonts w:ascii="Arial" w:hAnsi="Arial" w:cs="Arial"/>
          <w:sz w:val="20"/>
          <w:szCs w:val="20"/>
        </w:rPr>
      </w:pPr>
    </w:p>
    <w:tbl>
      <w:tblPr>
        <w:tblW w:w="0" w:type="auto"/>
        <w:tblInd w:w="-5" w:type="dxa"/>
        <w:tblLayout w:type="fixed"/>
        <w:tblLook w:val="0000" w:firstRow="0" w:lastRow="0" w:firstColumn="0" w:lastColumn="0" w:noHBand="0" w:noVBand="0"/>
      </w:tblPr>
      <w:tblGrid>
        <w:gridCol w:w="1390"/>
        <w:gridCol w:w="2498"/>
        <w:gridCol w:w="1477"/>
        <w:gridCol w:w="2458"/>
        <w:gridCol w:w="745"/>
        <w:gridCol w:w="1990"/>
      </w:tblGrid>
      <w:tr w:rsidR="00000000">
        <w:tc>
          <w:tcPr>
            <w:tcW w:w="1390"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Student’s name:</w:t>
            </w:r>
          </w:p>
        </w:tc>
        <w:tc>
          <w:tcPr>
            <w:tcW w:w="2498"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r>
              <w:rPr>
                <w:rFonts w:ascii="Arial" w:hAnsi="Arial" w:cs="Arial"/>
                <w:sz w:val="20"/>
                <w:szCs w:val="20"/>
              </w:rPr>
              <w:t>ALLEAUME Thomas</w:t>
            </w:r>
          </w:p>
        </w:tc>
        <w:tc>
          <w:tcPr>
            <w:tcW w:w="1477"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Name of assessor:</w:t>
            </w:r>
          </w:p>
          <w:p w:rsidR="00000000" w:rsidRDefault="00823EA2">
            <w:pPr>
              <w:rPr>
                <w:rFonts w:ascii="Arial" w:hAnsi="Arial" w:cs="Arial"/>
                <w:sz w:val="20"/>
                <w:szCs w:val="20"/>
              </w:rPr>
            </w:pPr>
          </w:p>
        </w:tc>
        <w:tc>
          <w:tcPr>
            <w:tcW w:w="2458" w:type="dxa"/>
            <w:tcBorders>
              <w:top w:val="single" w:sz="4" w:space="0" w:color="000000"/>
              <w:left w:val="single" w:sz="4" w:space="0" w:color="000000"/>
              <w:bottom w:val="single" w:sz="4" w:space="0" w:color="000000"/>
            </w:tcBorders>
            <w:shd w:val="clear" w:color="auto" w:fill="auto"/>
          </w:tcPr>
          <w:p w:rsidR="00000000" w:rsidRPr="00D42F98" w:rsidRDefault="00D42F98">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Antonios tashejian</w:t>
            </w:r>
          </w:p>
        </w:tc>
        <w:tc>
          <w:tcPr>
            <w:tcW w:w="745"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Date:</w:t>
            </w:r>
          </w:p>
        </w:tc>
        <w:tc>
          <w:tcPr>
            <w:tcW w:w="19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jc w:val="both"/>
            </w:pPr>
            <w:r>
              <w:rPr>
                <w:rFonts w:ascii="Arial" w:hAnsi="Arial" w:cs="Arial"/>
                <w:sz w:val="20"/>
                <w:szCs w:val="20"/>
              </w:rPr>
              <w:t>25/03/19</w:t>
            </w:r>
          </w:p>
        </w:tc>
      </w:tr>
      <w:tr w:rsidR="00000000">
        <w:tc>
          <w:tcPr>
            <w:tcW w:w="1390"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Essay title:</w:t>
            </w:r>
          </w:p>
        </w:tc>
        <w:tc>
          <w:tcPr>
            <w:tcW w:w="9168" w:type="dxa"/>
            <w:gridSpan w:val="5"/>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jc w:val="both"/>
              <w:rPr>
                <w:rFonts w:ascii="Arial" w:hAnsi="Arial" w:cs="Arial"/>
                <w:sz w:val="20"/>
                <w:szCs w:val="20"/>
              </w:rPr>
            </w:pPr>
          </w:p>
        </w:tc>
      </w:tr>
    </w:tbl>
    <w:p w:rsidR="00000000" w:rsidRDefault="00823EA2">
      <w:pPr>
        <w:jc w:val="both"/>
        <w:rPr>
          <w:rFonts w:ascii="Arial" w:hAnsi="Arial" w:cs="Arial"/>
          <w:sz w:val="20"/>
          <w:szCs w:val="20"/>
        </w:rPr>
      </w:pPr>
    </w:p>
    <w:tbl>
      <w:tblPr>
        <w:tblW w:w="0" w:type="auto"/>
        <w:tblInd w:w="-5" w:type="dxa"/>
        <w:tblLayout w:type="fixed"/>
        <w:tblLook w:val="0000" w:firstRow="0" w:lastRow="0" w:firstColumn="0" w:lastColumn="0" w:noHBand="0" w:noVBand="0"/>
      </w:tblPr>
      <w:tblGrid>
        <w:gridCol w:w="3888"/>
        <w:gridCol w:w="720"/>
        <w:gridCol w:w="540"/>
        <w:gridCol w:w="720"/>
        <w:gridCol w:w="540"/>
        <w:gridCol w:w="900"/>
        <w:gridCol w:w="3250"/>
      </w:tblGrid>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Excellent</w:t>
            </w:r>
          </w:p>
        </w:tc>
        <w:tc>
          <w:tcPr>
            <w:tcW w:w="540"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Good</w:t>
            </w:r>
          </w:p>
        </w:tc>
        <w:tc>
          <w:tcPr>
            <w:tcW w:w="720"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Average</w:t>
            </w:r>
          </w:p>
        </w:tc>
        <w:tc>
          <w:tcPr>
            <w:tcW w:w="540"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Poor</w:t>
            </w:r>
          </w:p>
        </w:tc>
        <w:tc>
          <w:tcPr>
            <w:tcW w:w="900"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Not acceptable</w:t>
            </w: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r>
              <w:rPr>
                <w:rFonts w:ascii="Arial" w:hAnsi="Arial" w:cs="Arial"/>
                <w:sz w:val="20"/>
                <w:szCs w:val="20"/>
              </w:rPr>
              <w:t>Comments</w:t>
            </w: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 xml:space="preserve">1) Is the chosen </w:t>
            </w:r>
            <w:r>
              <w:rPr>
                <w:rFonts w:ascii="Arial" w:hAnsi="Arial" w:cs="Arial"/>
                <w:b/>
                <w:sz w:val="20"/>
                <w:szCs w:val="20"/>
              </w:rPr>
              <w:t>quotation</w:t>
            </w:r>
            <w:r>
              <w:rPr>
                <w:rFonts w:ascii="Arial" w:hAnsi="Arial" w:cs="Arial"/>
                <w:sz w:val="20"/>
                <w:szCs w:val="20"/>
              </w:rPr>
              <w:t xml:space="preserve"> central to the author’s argument? </w:t>
            </w:r>
          </w:p>
          <w:p w:rsidR="00000000" w:rsidRDefault="00823EA2">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Pr="00D42F98" w:rsidRDefault="00823EA2">
            <w:pPr>
              <w:snapToGrid w:val="0"/>
              <w:rPr>
                <w:rFonts w:ascii="Arial" w:hAnsi="Arial" w:cs="Arial"/>
                <w:color w:val="ED7D31" w:themeColor="accent2"/>
                <w:sz w:val="20"/>
                <w:szCs w:val="20"/>
                <w:lang w:val="en-US"/>
              </w:rPr>
            </w:pPr>
            <w:r>
              <w:rPr>
                <w:rFonts w:ascii="Arial" w:hAnsi="Arial" w:cs="Arial"/>
                <w:sz w:val="20"/>
                <w:szCs w:val="20"/>
              </w:rPr>
              <w:t>+</w:t>
            </w:r>
            <w:r w:rsidR="00D42F98">
              <w:rPr>
                <w:rFonts w:ascii="Arial" w:hAnsi="Arial" w:cs="Arial"/>
                <w:color w:val="ED7D31" w:themeColor="accent2"/>
                <w:sz w:val="20"/>
                <w:szCs w:val="20"/>
                <w:lang w:val="en-US"/>
              </w:rPr>
              <w:t>+</w:t>
            </w: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rPr>
                <w:rFonts w:ascii="Arial" w:hAnsi="Arial" w:cs="Arial"/>
                <w:sz w:val="20"/>
                <w:szCs w:val="20"/>
              </w:rPr>
            </w:pP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p w:rsidR="00000000" w:rsidRDefault="00823EA2">
            <w:pPr>
              <w:rPr>
                <w:rFonts w:ascii="Arial" w:hAnsi="Arial" w:cs="Arial"/>
                <w:sz w:val="20"/>
                <w:szCs w:val="20"/>
              </w:rPr>
            </w:pPr>
            <w:r>
              <w:rPr>
                <w:rFonts w:ascii="Arial" w:hAnsi="Arial" w:cs="Arial"/>
                <w:sz w:val="20"/>
                <w:szCs w:val="20"/>
              </w:rPr>
              <w:t xml:space="preserve">2) </w:t>
            </w:r>
            <w:r>
              <w:rPr>
                <w:rFonts w:ascii="Arial" w:hAnsi="Arial" w:cs="Arial"/>
                <w:sz w:val="20"/>
                <w:szCs w:val="20"/>
              </w:rPr>
              <w:t xml:space="preserve">Has the main </w:t>
            </w:r>
            <w:r>
              <w:rPr>
                <w:rFonts w:ascii="Arial" w:hAnsi="Arial" w:cs="Arial"/>
                <w:b/>
                <w:sz w:val="20"/>
                <w:szCs w:val="20"/>
              </w:rPr>
              <w:t xml:space="preserve">argument </w:t>
            </w:r>
            <w:r>
              <w:rPr>
                <w:rFonts w:ascii="Arial" w:hAnsi="Arial" w:cs="Arial"/>
                <w:sz w:val="20"/>
                <w:szCs w:val="20"/>
              </w:rPr>
              <w:t>been fully understood (including  its ‘for’ and ‘against’ sides, if applicable)?</w:t>
            </w:r>
          </w:p>
          <w:p w:rsidR="00000000" w:rsidRDefault="00823EA2">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Pr="00C54058" w:rsidRDefault="00823EA2">
            <w:pPr>
              <w:snapToGrid w:val="0"/>
              <w:rPr>
                <w:rFonts w:ascii="Arial" w:hAnsi="Arial" w:cs="Arial"/>
                <w:color w:val="ED7D31" w:themeColor="accent2"/>
                <w:sz w:val="20"/>
                <w:szCs w:val="20"/>
                <w:lang w:val="en-US"/>
              </w:rPr>
            </w:pPr>
            <w:r>
              <w:rPr>
                <w:rFonts w:ascii="Arial" w:hAnsi="Arial" w:cs="Arial"/>
                <w:sz w:val="20"/>
                <w:szCs w:val="20"/>
              </w:rPr>
              <w:t>+</w:t>
            </w:r>
            <w:r w:rsidR="00C54058">
              <w:rPr>
                <w:rFonts w:ascii="Arial" w:hAnsi="Arial" w:cs="Arial"/>
                <w:color w:val="ED7D31" w:themeColor="accent2"/>
                <w:sz w:val="20"/>
                <w:szCs w:val="20"/>
                <w:lang w:val="en-US"/>
              </w:rPr>
              <w:t>+</w:t>
            </w: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rPr>
                <w:rFonts w:ascii="Arial" w:hAnsi="Arial" w:cs="Arial"/>
                <w:sz w:val="20"/>
                <w:szCs w:val="20"/>
              </w:rPr>
            </w:pP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p w:rsidR="00000000" w:rsidRDefault="00823EA2">
            <w:pPr>
              <w:rPr>
                <w:rFonts w:ascii="Arial" w:hAnsi="Arial" w:cs="Arial"/>
                <w:sz w:val="20"/>
                <w:szCs w:val="20"/>
              </w:rPr>
            </w:pPr>
            <w:r>
              <w:rPr>
                <w:rFonts w:ascii="Arial" w:hAnsi="Arial" w:cs="Arial"/>
                <w:sz w:val="20"/>
                <w:szCs w:val="20"/>
              </w:rPr>
              <w:t xml:space="preserve">3a) Is the </w:t>
            </w:r>
            <w:r>
              <w:rPr>
                <w:rFonts w:ascii="Arial" w:hAnsi="Arial" w:cs="Arial"/>
                <w:b/>
                <w:sz w:val="20"/>
                <w:szCs w:val="20"/>
              </w:rPr>
              <w:t>question</w:t>
            </w:r>
            <w:r>
              <w:rPr>
                <w:rFonts w:ascii="Arial" w:hAnsi="Arial" w:cs="Arial"/>
                <w:sz w:val="20"/>
                <w:szCs w:val="20"/>
              </w:rPr>
              <w:t xml:space="preserve"> raised important/relevant/interesting?</w:t>
            </w:r>
          </w:p>
        </w:tc>
        <w:tc>
          <w:tcPr>
            <w:tcW w:w="720" w:type="dxa"/>
            <w:tcBorders>
              <w:top w:val="single" w:sz="4" w:space="0" w:color="000000"/>
              <w:left w:val="single" w:sz="4" w:space="0" w:color="000000"/>
              <w:bottom w:val="single" w:sz="4" w:space="0" w:color="000000"/>
            </w:tcBorders>
            <w:shd w:val="clear" w:color="auto" w:fill="auto"/>
          </w:tcPr>
          <w:p w:rsidR="00000000" w:rsidRPr="00C54058" w:rsidRDefault="00823EA2">
            <w:pPr>
              <w:snapToGrid w:val="0"/>
              <w:rPr>
                <w:rFonts w:ascii="Arial" w:hAnsi="Arial" w:cs="Arial"/>
                <w:color w:val="ED7D31" w:themeColor="accent2"/>
                <w:sz w:val="20"/>
                <w:szCs w:val="20"/>
                <w:lang w:val="en-US"/>
              </w:rPr>
            </w:pPr>
            <w:r>
              <w:rPr>
                <w:rFonts w:ascii="Arial" w:hAnsi="Arial" w:cs="Arial"/>
                <w:sz w:val="20"/>
                <w:szCs w:val="20"/>
              </w:rPr>
              <w:t>+</w:t>
            </w:r>
            <w:r w:rsidR="00C54058">
              <w:rPr>
                <w:rFonts w:ascii="Arial" w:hAnsi="Arial" w:cs="Arial"/>
                <w:color w:val="ED7D31" w:themeColor="accent2"/>
                <w:sz w:val="20"/>
                <w:szCs w:val="20"/>
                <w:lang w:val="en-US"/>
              </w:rPr>
              <w:t>+</w:t>
            </w: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rPr>
                <w:rFonts w:ascii="Arial" w:hAnsi="Arial" w:cs="Arial"/>
                <w:sz w:val="20"/>
                <w:szCs w:val="20"/>
              </w:rPr>
            </w:pP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 xml:space="preserve">3b) Has this </w:t>
            </w:r>
            <w:r>
              <w:rPr>
                <w:rFonts w:ascii="Arial" w:hAnsi="Arial" w:cs="Arial"/>
                <w:b/>
                <w:sz w:val="20"/>
                <w:szCs w:val="20"/>
              </w:rPr>
              <w:t>question</w:t>
            </w:r>
            <w:r>
              <w:rPr>
                <w:rFonts w:ascii="Arial" w:hAnsi="Arial" w:cs="Arial"/>
                <w:sz w:val="20"/>
                <w:szCs w:val="20"/>
              </w:rPr>
              <w:t xml:space="preserve"> not been fully answered in the text?</w:t>
            </w:r>
          </w:p>
          <w:p w:rsidR="00000000" w:rsidRDefault="00823EA2">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Pr="00C54058" w:rsidRDefault="00C54058">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w:t>
            </w: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r>
              <w:rPr>
                <w:rFonts w:ascii="Arial" w:hAnsi="Arial" w:cs="Arial"/>
                <w:sz w:val="20"/>
                <w:szCs w:val="20"/>
              </w:rPr>
              <w:t>+</w:t>
            </w: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rPr>
                <w:rFonts w:ascii="Arial" w:hAnsi="Arial" w:cs="Arial"/>
                <w:sz w:val="20"/>
                <w:szCs w:val="20"/>
              </w:rPr>
            </w:pP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p w:rsidR="00000000" w:rsidRDefault="00823EA2">
            <w:pPr>
              <w:rPr>
                <w:rFonts w:ascii="Arial" w:hAnsi="Arial" w:cs="Arial"/>
                <w:sz w:val="20"/>
                <w:szCs w:val="20"/>
              </w:rPr>
            </w:pPr>
            <w:r>
              <w:rPr>
                <w:rFonts w:ascii="Arial" w:hAnsi="Arial" w:cs="Arial"/>
                <w:sz w:val="20"/>
                <w:szCs w:val="20"/>
              </w:rPr>
              <w:t>4) Is t</w:t>
            </w:r>
            <w:r>
              <w:rPr>
                <w:rFonts w:ascii="Arial" w:hAnsi="Arial" w:cs="Arial"/>
                <w:sz w:val="20"/>
                <w:szCs w:val="20"/>
              </w:rPr>
              <w:t xml:space="preserve">he </w:t>
            </w:r>
            <w:r>
              <w:rPr>
                <w:rFonts w:ascii="Arial" w:hAnsi="Arial" w:cs="Arial"/>
                <w:b/>
                <w:sz w:val="20"/>
                <w:szCs w:val="20"/>
              </w:rPr>
              <w:t>experiential connection</w:t>
            </w:r>
            <w:r>
              <w:rPr>
                <w:rFonts w:ascii="Arial" w:hAnsi="Arial" w:cs="Arial"/>
                <w:sz w:val="20"/>
                <w:szCs w:val="20"/>
              </w:rPr>
              <w:t xml:space="preserve"> relevant/interesting?</w:t>
            </w:r>
          </w:p>
          <w:p w:rsidR="00000000" w:rsidRDefault="00823EA2">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Pr="00C54058" w:rsidRDefault="00C54058">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w:t>
            </w: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r>
              <w:rPr>
                <w:rFonts w:ascii="Arial" w:hAnsi="Arial" w:cs="Arial"/>
                <w:sz w:val="20"/>
                <w:szCs w:val="20"/>
              </w:rPr>
              <w:t>+</w:t>
            </w: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Pr="00C54058" w:rsidRDefault="00C54058">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 xml:space="preserve">Loved it ! </w:t>
            </w: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p w:rsidR="00000000" w:rsidRDefault="00823EA2">
            <w:pPr>
              <w:rPr>
                <w:rFonts w:ascii="Arial" w:hAnsi="Arial" w:cs="Arial"/>
                <w:sz w:val="20"/>
                <w:szCs w:val="20"/>
              </w:rPr>
            </w:pPr>
            <w:r>
              <w:rPr>
                <w:rFonts w:ascii="Arial" w:hAnsi="Arial" w:cs="Arial"/>
                <w:sz w:val="20"/>
                <w:szCs w:val="20"/>
              </w:rPr>
              <w:t xml:space="preserve">5a) Is the </w:t>
            </w:r>
            <w:r>
              <w:rPr>
                <w:rFonts w:ascii="Arial" w:hAnsi="Arial" w:cs="Arial"/>
                <w:b/>
                <w:sz w:val="20"/>
                <w:szCs w:val="20"/>
              </w:rPr>
              <w:t>textual connection</w:t>
            </w:r>
            <w:r>
              <w:rPr>
                <w:rFonts w:ascii="Arial" w:hAnsi="Arial" w:cs="Arial"/>
                <w:sz w:val="20"/>
                <w:szCs w:val="20"/>
              </w:rPr>
              <w:t xml:space="preserve"> relevant/interesting?</w:t>
            </w:r>
          </w:p>
        </w:tc>
        <w:tc>
          <w:tcPr>
            <w:tcW w:w="720" w:type="dxa"/>
            <w:tcBorders>
              <w:top w:val="single" w:sz="4" w:space="0" w:color="000000"/>
              <w:left w:val="single" w:sz="4" w:space="0" w:color="000000"/>
              <w:bottom w:val="single" w:sz="4" w:space="0" w:color="000000"/>
            </w:tcBorders>
            <w:shd w:val="clear" w:color="auto" w:fill="auto"/>
          </w:tcPr>
          <w:p w:rsidR="00000000" w:rsidRPr="0012550A" w:rsidRDefault="00823EA2">
            <w:pPr>
              <w:snapToGrid w:val="0"/>
              <w:rPr>
                <w:rFonts w:ascii="Arial" w:hAnsi="Arial" w:cs="Arial"/>
                <w:color w:val="ED7D31" w:themeColor="accent2"/>
                <w:sz w:val="20"/>
                <w:szCs w:val="20"/>
                <w:lang w:val="en-US"/>
              </w:rPr>
            </w:pPr>
            <w:r>
              <w:rPr>
                <w:rFonts w:ascii="Arial" w:hAnsi="Arial" w:cs="Arial"/>
                <w:sz w:val="20"/>
                <w:szCs w:val="20"/>
              </w:rPr>
              <w:t>+</w:t>
            </w:r>
            <w:r w:rsidR="0012550A">
              <w:rPr>
                <w:rFonts w:ascii="Arial" w:hAnsi="Arial" w:cs="Arial"/>
                <w:color w:val="ED7D31" w:themeColor="accent2"/>
                <w:sz w:val="20"/>
                <w:szCs w:val="20"/>
                <w:lang w:val="en-US"/>
              </w:rPr>
              <w:t>+</w:t>
            </w: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rPr>
                <w:rFonts w:ascii="Arial" w:hAnsi="Arial" w:cs="Arial"/>
                <w:sz w:val="20"/>
                <w:szCs w:val="20"/>
              </w:rPr>
            </w:pP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5b) Has it been cited properly?</w:t>
            </w:r>
          </w:p>
        </w:tc>
        <w:tc>
          <w:tcPr>
            <w:tcW w:w="720" w:type="dxa"/>
            <w:tcBorders>
              <w:top w:val="single" w:sz="4" w:space="0" w:color="000000"/>
              <w:left w:val="single" w:sz="4" w:space="0" w:color="000000"/>
              <w:bottom w:val="single" w:sz="4" w:space="0" w:color="000000"/>
            </w:tcBorders>
            <w:shd w:val="clear" w:color="auto" w:fill="auto"/>
          </w:tcPr>
          <w:p w:rsidR="00000000" w:rsidRPr="0012550A" w:rsidRDefault="0012550A">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w:t>
            </w: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r>
              <w:rPr>
                <w:rFonts w:ascii="Arial" w:hAnsi="Arial" w:cs="Arial"/>
                <w:sz w:val="20"/>
                <w:szCs w:val="20"/>
              </w:rPr>
              <w:t>+</w:t>
            </w: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rPr>
                <w:rFonts w:ascii="Arial" w:hAnsi="Arial" w:cs="Arial"/>
                <w:sz w:val="20"/>
                <w:szCs w:val="20"/>
              </w:rPr>
            </w:pP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5c) Has it been adequately explained how the present text's argument contrasts with, contradicts,</w:t>
            </w:r>
            <w:r>
              <w:rPr>
                <w:rFonts w:ascii="Arial" w:hAnsi="Arial" w:cs="Arial"/>
                <w:sz w:val="20"/>
                <w:szCs w:val="20"/>
              </w:rPr>
              <w:t xml:space="preserve"> confirms, clarifies, or elaborates the other text's argument or point</w:t>
            </w:r>
            <w:r>
              <w:rPr>
                <w:rFonts w:ascii="Arial" w:hAnsi="Arial" w:cs="Arial"/>
              </w:rPr>
              <w:t>?</w:t>
            </w:r>
          </w:p>
          <w:p w:rsidR="00000000" w:rsidRDefault="00823EA2">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Pr="0012550A" w:rsidRDefault="00823EA2">
            <w:pPr>
              <w:snapToGrid w:val="0"/>
              <w:rPr>
                <w:rFonts w:ascii="Arial" w:hAnsi="Arial" w:cs="Arial"/>
                <w:color w:val="ED7D31" w:themeColor="accent2"/>
                <w:sz w:val="20"/>
                <w:szCs w:val="20"/>
                <w:lang w:val="en-US"/>
              </w:rPr>
            </w:pPr>
            <w:r>
              <w:rPr>
                <w:rFonts w:ascii="Arial" w:hAnsi="Arial" w:cs="Arial"/>
                <w:sz w:val="20"/>
                <w:szCs w:val="20"/>
              </w:rPr>
              <w:t>+</w:t>
            </w:r>
            <w:r w:rsidR="0012550A">
              <w:rPr>
                <w:rFonts w:ascii="Arial" w:hAnsi="Arial" w:cs="Arial"/>
                <w:color w:val="ED7D31" w:themeColor="accent2"/>
                <w:sz w:val="20"/>
                <w:szCs w:val="20"/>
                <w:lang w:val="en-US"/>
              </w:rPr>
              <w:t>+</w:t>
            </w: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rPr>
                <w:rFonts w:ascii="Arial" w:hAnsi="Arial" w:cs="Arial"/>
                <w:sz w:val="20"/>
                <w:szCs w:val="20"/>
              </w:rPr>
            </w:pP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p w:rsidR="00000000" w:rsidRDefault="00823EA2">
            <w:pPr>
              <w:rPr>
                <w:rFonts w:ascii="Arial" w:hAnsi="Arial" w:cs="Arial"/>
                <w:sz w:val="20"/>
                <w:szCs w:val="20"/>
              </w:rPr>
            </w:pPr>
            <w:r>
              <w:rPr>
                <w:rFonts w:ascii="Arial" w:hAnsi="Arial" w:cs="Arial"/>
                <w:sz w:val="20"/>
                <w:szCs w:val="20"/>
              </w:rPr>
              <w:t xml:space="preserve">6) Have the </w:t>
            </w:r>
            <w:r>
              <w:rPr>
                <w:rFonts w:ascii="Arial" w:hAnsi="Arial" w:cs="Arial"/>
                <w:b/>
                <w:sz w:val="20"/>
                <w:szCs w:val="20"/>
              </w:rPr>
              <w:t>implications</w:t>
            </w:r>
            <w:r>
              <w:rPr>
                <w:rFonts w:ascii="Arial" w:hAnsi="Arial" w:cs="Arial"/>
                <w:sz w:val="20"/>
                <w:szCs w:val="20"/>
              </w:rPr>
              <w:t xml:space="preserve"> been well understood, can they have a practical impact for policy making?</w:t>
            </w:r>
          </w:p>
          <w:p w:rsidR="00000000" w:rsidRDefault="00823EA2">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Pr="0012550A" w:rsidRDefault="00823EA2">
            <w:pPr>
              <w:snapToGrid w:val="0"/>
              <w:rPr>
                <w:rFonts w:ascii="Arial" w:hAnsi="Arial" w:cs="Arial"/>
                <w:color w:val="ED7D31" w:themeColor="accent2"/>
                <w:sz w:val="20"/>
                <w:szCs w:val="20"/>
                <w:lang w:val="en-US"/>
              </w:rPr>
            </w:pPr>
            <w:r>
              <w:rPr>
                <w:rFonts w:ascii="Arial" w:hAnsi="Arial" w:cs="Arial"/>
                <w:sz w:val="20"/>
                <w:szCs w:val="20"/>
              </w:rPr>
              <w:t>+</w:t>
            </w:r>
            <w:r w:rsidR="0012550A">
              <w:rPr>
                <w:rFonts w:ascii="Arial" w:hAnsi="Arial" w:cs="Arial"/>
                <w:color w:val="ED7D31" w:themeColor="accent2"/>
                <w:sz w:val="20"/>
                <w:szCs w:val="20"/>
                <w:lang w:val="en-US"/>
              </w:rPr>
              <w:t>+</w:t>
            </w: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rPr>
                <w:rFonts w:ascii="Arial" w:hAnsi="Arial" w:cs="Arial"/>
                <w:sz w:val="20"/>
                <w:szCs w:val="20"/>
              </w:rPr>
            </w:pP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b/>
                <w:sz w:val="20"/>
                <w:szCs w:val="20"/>
              </w:rPr>
            </w:pPr>
          </w:p>
          <w:p w:rsidR="00000000" w:rsidRDefault="00823EA2">
            <w:pPr>
              <w:rPr>
                <w:rFonts w:ascii="Arial" w:hAnsi="Arial" w:cs="Arial"/>
                <w:sz w:val="20"/>
                <w:szCs w:val="20"/>
              </w:rPr>
            </w:pPr>
            <w:r>
              <w:rPr>
                <w:rFonts w:ascii="Arial" w:hAnsi="Arial" w:cs="Arial"/>
                <w:b/>
                <w:sz w:val="20"/>
                <w:szCs w:val="20"/>
              </w:rPr>
              <w:t xml:space="preserve">7) Expression/Presentation </w:t>
            </w:r>
          </w:p>
        </w:tc>
        <w:tc>
          <w:tcPr>
            <w:tcW w:w="720" w:type="dxa"/>
            <w:tcBorders>
              <w:top w:val="single" w:sz="4" w:space="0" w:color="000000"/>
              <w:left w:val="single" w:sz="4" w:space="0" w:color="000000"/>
              <w:bottom w:val="single" w:sz="4" w:space="0" w:color="000000"/>
            </w:tcBorders>
            <w:shd w:val="clear" w:color="auto" w:fill="auto"/>
          </w:tcPr>
          <w:p w:rsidR="00000000" w:rsidRPr="00823EA2" w:rsidRDefault="00823EA2">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w:t>
            </w: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r>
              <w:rPr>
                <w:rFonts w:ascii="Arial" w:hAnsi="Arial" w:cs="Arial"/>
                <w:sz w:val="20"/>
                <w:szCs w:val="20"/>
              </w:rPr>
              <w:t>+</w:t>
            </w: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rPr>
                <w:rFonts w:ascii="Arial" w:hAnsi="Arial" w:cs="Arial"/>
                <w:sz w:val="20"/>
                <w:szCs w:val="20"/>
              </w:rPr>
            </w:pP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a) Are the style, grammar and</w:t>
            </w:r>
            <w:r>
              <w:rPr>
                <w:rFonts w:ascii="Arial" w:hAnsi="Arial" w:cs="Arial"/>
                <w:sz w:val="20"/>
                <w:szCs w:val="20"/>
              </w:rPr>
              <w:t xml:space="preserve"> general use of English adequate?</w:t>
            </w:r>
          </w:p>
        </w:tc>
        <w:tc>
          <w:tcPr>
            <w:tcW w:w="720" w:type="dxa"/>
            <w:tcBorders>
              <w:top w:val="single" w:sz="4" w:space="0" w:color="000000"/>
              <w:left w:val="single" w:sz="4" w:space="0" w:color="000000"/>
              <w:bottom w:val="single" w:sz="4" w:space="0" w:color="000000"/>
            </w:tcBorders>
            <w:shd w:val="clear" w:color="auto" w:fill="auto"/>
          </w:tcPr>
          <w:p w:rsidR="00000000" w:rsidRPr="00823EA2" w:rsidRDefault="00823EA2">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w:t>
            </w: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r>
              <w:rPr>
                <w:rFonts w:ascii="Arial" w:hAnsi="Arial" w:cs="Arial"/>
                <w:sz w:val="20"/>
                <w:szCs w:val="20"/>
              </w:rPr>
              <w:t>+</w:t>
            </w: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rPr>
                <w:rFonts w:ascii="Arial" w:hAnsi="Arial" w:cs="Arial"/>
                <w:sz w:val="20"/>
                <w:szCs w:val="20"/>
              </w:rPr>
            </w:pPr>
          </w:p>
        </w:tc>
      </w:tr>
      <w:tr w:rsidR="00000000">
        <w:tc>
          <w:tcPr>
            <w:tcW w:w="3888" w:type="dxa"/>
            <w:tcBorders>
              <w:top w:val="single" w:sz="4" w:space="0" w:color="000000"/>
              <w:left w:val="single" w:sz="4" w:space="0" w:color="000000"/>
              <w:bottom w:val="single" w:sz="4" w:space="0" w:color="000000"/>
            </w:tcBorders>
            <w:shd w:val="clear" w:color="auto" w:fill="auto"/>
          </w:tcPr>
          <w:p w:rsidR="00000000" w:rsidRDefault="00823EA2">
            <w:pPr>
              <w:rPr>
                <w:rFonts w:ascii="Arial" w:hAnsi="Arial" w:cs="Arial"/>
                <w:sz w:val="20"/>
                <w:szCs w:val="20"/>
              </w:rPr>
            </w:pPr>
            <w:r>
              <w:rPr>
                <w:rFonts w:ascii="Arial" w:hAnsi="Arial" w:cs="Arial"/>
                <w:sz w:val="20"/>
                <w:szCs w:val="20"/>
              </w:rPr>
              <w:t>b) Is the AQCI professionally presented?</w:t>
            </w:r>
          </w:p>
        </w:tc>
        <w:tc>
          <w:tcPr>
            <w:tcW w:w="720" w:type="dxa"/>
            <w:tcBorders>
              <w:top w:val="single" w:sz="4" w:space="0" w:color="000000"/>
              <w:left w:val="single" w:sz="4" w:space="0" w:color="000000"/>
              <w:bottom w:val="single" w:sz="4" w:space="0" w:color="000000"/>
            </w:tcBorders>
            <w:shd w:val="clear" w:color="auto" w:fill="auto"/>
          </w:tcPr>
          <w:p w:rsidR="00000000" w:rsidRPr="00823EA2" w:rsidRDefault="00823EA2">
            <w:pPr>
              <w:snapToGrid w:val="0"/>
              <w:rPr>
                <w:rFonts w:ascii="Arial" w:hAnsi="Arial" w:cs="Arial"/>
                <w:color w:val="ED7D31" w:themeColor="accent2"/>
                <w:sz w:val="20"/>
                <w:szCs w:val="20"/>
                <w:lang w:val="en-US"/>
              </w:rPr>
            </w:pPr>
            <w:r>
              <w:rPr>
                <w:rFonts w:ascii="Arial" w:hAnsi="Arial" w:cs="Arial"/>
                <w:sz w:val="20"/>
                <w:szCs w:val="20"/>
              </w:rPr>
              <w:t>+</w:t>
            </w:r>
            <w:r>
              <w:rPr>
                <w:rFonts w:ascii="Arial" w:hAnsi="Arial" w:cs="Arial"/>
                <w:color w:val="ED7D31" w:themeColor="accent2"/>
                <w:sz w:val="20"/>
                <w:szCs w:val="20"/>
                <w:lang w:val="en-US"/>
              </w:rPr>
              <w:t>+</w:t>
            </w:r>
            <w:bookmarkStart w:id="0" w:name="_GoBack"/>
            <w:bookmarkEnd w:id="0"/>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000000" w:rsidRDefault="00823EA2">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23EA2">
            <w:pPr>
              <w:snapToGrid w:val="0"/>
              <w:rPr>
                <w:rFonts w:ascii="Arial" w:hAnsi="Arial" w:cs="Arial"/>
                <w:sz w:val="20"/>
                <w:szCs w:val="20"/>
              </w:rPr>
            </w:pPr>
          </w:p>
        </w:tc>
      </w:tr>
    </w:tbl>
    <w:p w:rsidR="00000000" w:rsidRDefault="00823EA2">
      <w:pPr>
        <w:jc w:val="both"/>
        <w:rPr>
          <w:rFonts w:ascii="Arial" w:hAnsi="Arial" w:cs="Arial"/>
          <w:sz w:val="20"/>
          <w:szCs w:val="20"/>
        </w:rPr>
      </w:pPr>
    </w:p>
    <w:p w:rsidR="00000000" w:rsidRDefault="00823EA2">
      <w:pPr>
        <w:tabs>
          <w:tab w:val="left" w:pos="8640"/>
        </w:tabs>
        <w:jc w:val="both"/>
        <w:rPr>
          <w:rFonts w:ascii="Arial" w:hAnsi="Arial" w:cs="Arial"/>
          <w:sz w:val="20"/>
          <w:szCs w:val="20"/>
        </w:rPr>
      </w:pPr>
      <w:r>
        <w:rPr>
          <w:rFonts w:ascii="Arial" w:hAnsi="Arial" w:cs="Arial"/>
          <w:sz w:val="20"/>
          <w:szCs w:val="20"/>
        </w:rPr>
        <w:t xml:space="preserve">Essay grade: </w:t>
      </w:r>
    </w:p>
    <w:p w:rsidR="00000000" w:rsidRDefault="00823EA2">
      <w:pPr>
        <w:jc w:val="both"/>
        <w:rPr>
          <w:rFonts w:ascii="Arial" w:hAnsi="Arial" w:cs="Arial"/>
          <w:sz w:val="20"/>
          <w:szCs w:val="20"/>
        </w:rPr>
      </w:pPr>
    </w:p>
    <w:p w:rsidR="00000000" w:rsidRDefault="00823EA2">
      <w:pPr>
        <w:widowControl/>
        <w:spacing w:line="100" w:lineRule="atLeast"/>
        <w:jc w:val="both"/>
      </w:pPr>
      <w:r>
        <w:rPr>
          <w:rFonts w:ascii="Arial" w:hAnsi="Arial" w:cs="Arial"/>
          <w:sz w:val="20"/>
          <w:szCs w:val="20"/>
          <w:lang w:val="en-US"/>
        </w:rPr>
        <w:t xml:space="preserve">Further comments:  </w:t>
      </w:r>
    </w:p>
    <w:sectPr w:rsidR="0000000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23EA2">
      <w:r>
        <w:separator/>
      </w:r>
    </w:p>
  </w:endnote>
  <w:endnote w:type="continuationSeparator" w:id="0">
    <w:p w:rsidR="00000000" w:rsidRDefault="00823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ndale Sans UI">
    <w:altName w:val="Arial Unicode MS"/>
    <w:panose1 w:val="020B0604020202020204"/>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23EA2">
      <w:r>
        <w:separator/>
      </w:r>
    </w:p>
  </w:footnote>
  <w:footnote w:type="continuationSeparator" w:id="0">
    <w:p w:rsidR="00000000" w:rsidRDefault="00823EA2">
      <w:r>
        <w:continuationSeparator/>
      </w:r>
    </w:p>
  </w:footnote>
  <w:footnote w:id="1">
    <w:p w:rsidR="00000000" w:rsidRDefault="00823EA2">
      <w:pPr>
        <w:pStyle w:val="Notedebasdepage"/>
      </w:pPr>
      <w:r>
        <w:rPr>
          <w:rStyle w:val="Caractresdenotedebasdepage"/>
        </w:rPr>
        <w:footnoteRef/>
      </w:r>
      <w:r>
        <w:tab/>
        <w:t>WILSON, William Julius, "The Truly Disadvantaged: the Inner City, the Underclass and Public Policy. Chicago: University of Chic</w:t>
      </w:r>
      <w:r>
        <w:t>ago Press." (1987) University of Chicago Press, pp 144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formatting="0"/>
  <w:defaultTabStop w:val="70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65"/>
    <w:rsid w:val="0012550A"/>
    <w:rsid w:val="007C2565"/>
    <w:rsid w:val="00823EA2"/>
    <w:rsid w:val="00C54058"/>
    <w:rsid w:val="00D42F9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EmbedSmartTags/>
  <w:decimalSymbol w:val=","/>
  <w:listSeparator w:val=","/>
  <w14:docId w14:val="2171495B"/>
  <w15:chartTrackingRefBased/>
  <w15:docId w15:val="{A1205C45-1F10-B848-8065-9994BCED1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ndale Sans UI"/>
      <w:kern w:val="1"/>
      <w:sz w:val="24"/>
      <w:szCs w:val="24"/>
      <w:lang/>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ractresdenumrotation">
    <w:name w:val="Caractères de numérotation"/>
  </w:style>
  <w:style w:type="character" w:customStyle="1" w:styleId="Caractresdenotedebasdepage">
    <w:name w:val="Caractères de note de bas de page"/>
  </w:style>
  <w:style w:type="character" w:styleId="Appelnotedebasdep">
    <w:name w:val="footnote reference"/>
    <w:rPr>
      <w:vertAlign w:val="superscript"/>
    </w:rPr>
  </w:style>
  <w:style w:type="character" w:customStyle="1" w:styleId="DefaultParagraphFont">
    <w:name w:val="Default Paragraph Font"/>
  </w:style>
  <w:style w:type="character" w:styleId="lev">
    <w:name w:val="Strong"/>
    <w:basedOn w:val="DefaultParagraphFont"/>
    <w:qFormat/>
    <w:rPr>
      <w:b/>
      <w:bCs/>
    </w:rPr>
  </w:style>
  <w:style w:type="character" w:styleId="Appeldenotedefin">
    <w:name w:val="endnote reference"/>
    <w:rPr>
      <w:vertAlign w:val="superscript"/>
    </w:rPr>
  </w:style>
  <w:style w:type="character" w:customStyle="1" w:styleId="Caractresdenotedefin">
    <w:name w:val="Caractères de note de fin"/>
  </w:style>
  <w:style w:type="paragraph" w:customStyle="1" w:styleId="Titre1">
    <w:name w:val="Titre1"/>
    <w:basedOn w:val="Normal"/>
    <w:next w:val="Corpsdetexte"/>
    <w:pPr>
      <w:keepNext/>
      <w:spacing w:before="240" w:after="120"/>
    </w:pPr>
    <w:rPr>
      <w:rFonts w:ascii="Arial" w:hAnsi="Arial" w:cs="Tahoma"/>
      <w:sz w:val="28"/>
      <w:szCs w:val="28"/>
    </w:rPr>
  </w:style>
  <w:style w:type="paragraph" w:styleId="Corpsdetexte">
    <w:name w:val="Body Text"/>
    <w:basedOn w:val="Normal"/>
    <w:pPr>
      <w:spacing w:after="120"/>
    </w:pPr>
  </w:style>
  <w:style w:type="paragraph" w:styleId="Liste">
    <w:name w:val="List"/>
    <w:basedOn w:val="Corpsdetexte"/>
    <w:rPr>
      <w:rFonts w:cs="Tahoma"/>
    </w:rPr>
  </w:style>
  <w:style w:type="paragraph" w:customStyle="1" w:styleId="Lgende1">
    <w:name w:val="Légende1"/>
    <w:basedOn w:val="Normal"/>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Pieddepage">
    <w:name w:val="footer"/>
    <w:basedOn w:val="Normal"/>
    <w:pPr>
      <w:suppressLineNumbers/>
      <w:tabs>
        <w:tab w:val="center" w:pos="4818"/>
        <w:tab w:val="right" w:pos="9637"/>
      </w:tabs>
    </w:pPr>
  </w:style>
  <w:style w:type="paragraph" w:styleId="Notedebasdepage">
    <w:name w:val="footnote text"/>
    <w:basedOn w:val="Normal"/>
    <w:pPr>
      <w:suppressLineNumbers/>
      <w:ind w:left="283" w:hanging="283"/>
    </w:pPr>
    <w:rPr>
      <w:sz w:val="20"/>
      <w:szCs w:val="20"/>
    </w:rPr>
  </w:style>
  <w:style w:type="paragraph" w:customStyle="1" w:styleId="Contenudetableau">
    <w:name w:val="Contenu de tableau"/>
    <w:basedOn w:val="Normal"/>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971</Words>
  <Characters>5341</Characters>
  <Application>Microsoft Office Word</Application>
  <DocSecurity>0</DocSecurity>
  <Lines>44</Lines>
  <Paragraphs>12</Paragraphs>
  <ScaleCrop>false</ScaleCrop>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Maria Tashejian</cp:lastModifiedBy>
  <cp:revision>2</cp:revision>
  <cp:lastPrinted>1601-01-01T00:00:00Z</cp:lastPrinted>
  <dcterms:created xsi:type="dcterms:W3CDTF">2019-03-26T09:29:00Z</dcterms:created>
  <dcterms:modified xsi:type="dcterms:W3CDTF">2019-03-26T09:29:00Z</dcterms:modified>
</cp:coreProperties>
</file>