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2200"/>
      </w:tblGrid>
      <w:tr w:rsidR="003C3608" w:rsidRPr="003C3608" w:rsidTr="003C3608">
        <w:trPr>
          <w:trHeight w:val="750"/>
          <w:tblCellSpacing w:w="0" w:type="dxa"/>
        </w:trPr>
        <w:tc>
          <w:tcPr>
            <w:tcW w:w="0" w:type="auto"/>
            <w:hideMark/>
          </w:tcPr>
          <w:p w:rsidR="003C3608" w:rsidRPr="003C3608" w:rsidRDefault="003C3608" w:rsidP="003C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"https://library.osu.edu/projects/hebrew-lexicon/index.htm" </w:instrTex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3C3608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u w:val="single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u w:val="single"/>
                <w:rtl/>
                <w:lang w:eastAsia="cs-CZ" w:bidi="he-IL"/>
              </w:rPr>
              <w:t>בעריכת חבר ספרנים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70" w:type="dxa"/>
            <w:shd w:val="clear" w:color="auto" w:fill="7AFF95"/>
            <w:hideMark/>
          </w:tcPr>
          <w:p w:rsidR="003C3608" w:rsidRPr="003C3608" w:rsidRDefault="003C3608" w:rsidP="003C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397000" cy="1397000"/>
                  <wp:effectExtent l="0" t="0" r="0" b="0"/>
                  <wp:docPr id="1" name="Obrázek 1" descr="לקסיקון הספרות העברית. לוגו באדיבות תמיר להב-רדלמסר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לקסיקון הספרות העברית. לוגו באדיבות תמיר להב-רדלמסר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608" w:rsidRPr="003C3608" w:rsidRDefault="003C3608" w:rsidP="003C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3608" w:rsidRPr="003C3608" w:rsidTr="003C3608">
        <w:trPr>
          <w:tblCellSpacing w:w="0" w:type="dxa"/>
        </w:trPr>
        <w:tc>
          <w:tcPr>
            <w:tcW w:w="42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713"/>
              <w:gridCol w:w="3187"/>
            </w:tblGrid>
            <w:tr w:rsidR="003C3608" w:rsidRPr="003C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608" w:rsidRPr="003C3608" w:rsidRDefault="003C3608" w:rsidP="003C36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cs-CZ" w:bidi="he-IL"/>
                    </w:rPr>
                    <w:t>מיכה יוסף</w:t>
                  </w: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cs-CZ"/>
                    </w:rPr>
                    <w:t xml:space="preserve"> </w:t>
                  </w: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cs-CZ" w:bidi="he-IL"/>
                    </w:rPr>
                    <w:t>ברדיצ'בסקי</w:t>
                  </w: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cs-CZ"/>
                    </w:rPr>
                    <w:t xml:space="preserve"> </w:t>
                  </w: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cs-CZ"/>
                    </w:rPr>
                    <w:t>(1865</w:t>
                  </w: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cs-CZ" w:bidi="he-IL"/>
                    </w:rPr>
                    <w:t>־1921</w:t>
                  </w: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608" w:rsidRPr="003C3608" w:rsidRDefault="003C3608" w:rsidP="003C36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cs-CZ"/>
                    </w:rPr>
                    <w:t>&lt;</w:t>
                  </w: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  <w:lang w:eastAsia="cs-CZ" w:bidi="he-IL"/>
                    </w:rPr>
                    <w:t>בהכנה</w:t>
                  </w:r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cs-CZ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608" w:rsidRPr="003C3608" w:rsidRDefault="003C3608" w:rsidP="003C36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cs-CZ"/>
                    </w:rPr>
                    <w:t>Micah</w:t>
                  </w:r>
                  <w:proofErr w:type="spellEnd"/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cs-CZ"/>
                    </w:rPr>
                    <w:t xml:space="preserve"> Joseph </w:t>
                  </w:r>
                  <w:proofErr w:type="spellStart"/>
                  <w:r w:rsidRPr="003C360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cs-CZ"/>
                    </w:rPr>
                    <w:t>Berdichevsky</w:t>
                  </w:r>
                  <w:proofErr w:type="spellEnd"/>
                </w:p>
              </w:tc>
            </w:tr>
          </w:tbl>
          <w:p w:rsidR="003C3608" w:rsidRPr="003C3608" w:rsidRDefault="003C3608" w:rsidP="003C36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505075"/>
                  <wp:effectExtent l="0" t="0" r="0" b="9525"/>
                  <wp:wrapSquare wrapText="bothSides"/>
                  <wp:docPr id="2" name="Obrázek 2" descr="https://library.osu.edu/projects/hebrew-lexicon/02020-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brary.osu.edu/projects/hebrew-lexicon/02020-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מיכה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יוסף ברדיצ'בסקי,  סופר והוגה דעות. נולד בכ"ז באב תרכ"ה, 19 באוגוסט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1865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בעיירה מז'יבוז' שבאוקראינה, ערש החסידות, למשפחת רבנים רבת-דורות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קיבל חינוך תורני-חסידי מובהק, וכבן בכור להוריו נועד לרשת את כסא הרבנות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ילדותו ונעוריו עברו בעיירה דוּבּוֹבָה הסמוכה לעיר אוּמַן, בסביבה אדוקה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ושמרנית ביותר. אלא שההרמוניה בינו לבין מסורת אבותיו התערערה כבר בימי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נעוריו, כאשר הוקסם מרעיונותיה של תנועת ההשכלה ושקע בהתלהבות בספרותה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ובעקבות זאת נאלץ לגרש את אשתו הראשונה במצוות חותנו האדוק. כבן עשרים יצא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ללימודים בישיבת וולוז'ין בליטא, ובתקופת לימודיו בה (1885־1886) החל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בכתיבה ספרותית. ביכורי כתיבתו – תיאורים של חיי הישיבה ודיונים הלכתיים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קצרים – פורסמו בשלהי 1886, ובארבע השנים הבאות הירבה להשתתף בעיתונות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העברית במאמרים פובליציסטיים, ברשימות-ביקורת, בסקירות היסטוריות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וברפורטאז'ות מערי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מגוריו. באותן שנים נודע כ"משכיל תורני", השואף לשלב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בין עולם התורה לבין יסודות שונים מתרבות אירופה, ואף הוציא ב-1888 קובץ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ספרותי-תורני ברוח זו בשם "בית המדרש". ב-1890 יצא לאודסה כתחנת מעבר לקראת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רכישת השכלה אוניברסיטאית במערב-אירופה. ב-1891 החל ללמוד באוניברסיטת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ברסלאו בגרמניה. את המשך לימודיו עשה באוניברסיטאות של ברלין ושל ברן, בירת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שווייץ, עד שהוכתר ב-1896 בתואר דוקטור לפילוסופיה. בשש שנות לימודיו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בגרמניה ובשווייץ כמעט נאלם קולו בספרות העברית, אבל אלו היו שנים מכריעות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בעיצוב השקפותיו ובהכשרתו כאמן. תחילה נטה לבטל מכל וכל את ערכו של העולם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היהודי המסורתי ש"בין החומות", התמכר לקסמיהן של הפילוסופיה המערבית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והספרות היפה האירופית וראה בתרבות המערב את חזות הכל. אחר כך הגיע לשלילת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כל תרבות שהיא ולקידוש האינסטינקטים והיצרים הראשוניים, אולי בהשפעתו של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פרידריך ניטשה שאל כתביו התוודע באותן שנים. ב-1896 בערך ניכר מיפנה נוסף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במחשבתו, בכיוון של חזרה אל ההקשר העברי והיהודי, ומחשבות על סינתזה אפשרית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בין יהדות וערכי תרבות אירופיים מודרניים כגון הזיקה הישירה לטבע, לאהבה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לאסתטיקה לשמה,לספרות היפה ולאמנות הפלסטית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  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בשלהי שנת 1896 הופיע ברדיצ'בסקי מחדש בספרות העברית בסידרת מאמרי פולמוס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נגד תפיסותיו של ההוגה הנערץ אחד-העם, שייסד באותם ימים את ירחונו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השילוח". ברדיצ'בסקי וחבריו התקוממו כנגד המקום המוגבל שהועיד אחד-העם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לספרות היפה בחזון התרבות העברית שלו, ובמיוחד כנגד הצעתו שהקוראים העברים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ימצאו את סיפוקם האסתטי בספרויות העמים המפותחות והעשירות יותר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כוונתו של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lastRenderedPageBreak/>
              <w:t>אחד-העם להגביל את ירחונו לענייני היהדות בלבד גרמה, בעיני ברדיצ'בסקי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לקריעת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החיים "לשתי רשויות, לשלנו ולאשר מסביב לנו", ובכך, לדבריו, "הרי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אנו מרחיבים את הקרע הפנימי שבתוך לב צעירינו, אשר גם בלעדי זה מלחמה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תמידית בלבם עתה בין יפיפותו של יפת ובין אהלי שֵם". ברדיצ'בסקי קרא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לריפויו של אותו "קרע שבלב" – מושג מרכזי במחשבתו – כדי לאפשר לצעירים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היהודים "להיות 'בני אדם עברים' בבת אחת, בנשימה אחת, שניזונים ממקום אחד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מכאן התפתח ויכוח מסועף, שנמשך כשנתיים, ואשר רבים רואים בו את הוויכוח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החשוב ביותר בתולדותיה של הספרות העברית החדשה. במהלכו כבש לו ברדיצ'בסקי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עמדת מנהיגות מובהקת בקרב הדור הצעיר של הסופרים העברים. מנהיגותו התחזקה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והתבססה עם פרסומם המרוכז של תשעה ספרים מפרי עטו בשנת 1899־1900, ובתוכם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ארבעה ספרי סיפורת וחמישה קבצי מסות. חלק מן הסיפורים (בתוכם הנובֶלות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החשובות "מחניים" ו"עורבא פרח") מעצבים את המתח בין היחיד החפץ לממש את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מאווייו הארוטיים והאינטלקטואליים בעולם המודרני, לבין הכוחות המושכים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העצומים של עולם האבות המסורתי, האופפים אותו כעבותות שאינם ניתנים לניתוק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סיפורים אחרים הם כעין דיוקנאות ושרטוטי הווי מנוף העיירה הקטנה ברוסיה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המבוססים במידה רבה על זכרונותיו מעיירת ילדותו באוקראינה, אך גם בהם ניכרת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עמדתו כפולת הפנים של המחבר כלפי המציאות היהודית בין אמפתיה לביקורת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סאטירית. עם זאת, מרכז הכובד העמוק של הסיפורים מצוי במקום אחר, שכן מתחת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לחיצוניות העלובה והמנוונת של העיירה המצטיירת מן הסיפורים רוחשים יצרים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אנושיים, חטאים ועברות על איסורים חברתיים ומיניים. מגמתו של ברדיצ'בסקי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לחשוף את כוחות החיים הגנוזים שמתחת למעטה המסורתי הרוחני של החיים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היהודיים הלכה והעמיקה בסיפוריו, עד שבשנותיו האחרונות היא לבשה אופי מיתי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והביאה אותו לעצב את דמויותיו כגלגולים של כוחות-קדומים או של דמויות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תנ"כיות אדירות-כוח, הנאבקות לחרוג מן הקיום האנושי המוגבל,מתמודדות עם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איתני הטבע, חוטאות ונענשות. ייחודם של סיפורים אלה טמון לא רק בתימטיקה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ובהשקפת העולם יוצאת-הדופן הנפרשת בהם, אלא גם בדרכי עיצובם הבלתי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שיגרתיות. ביניהן: הלשון המטפורית הדחוסה, הסימבוליקה האישית הייחודית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המבנים התחביריים הקטועים, העיצוב המרומז והתמציתי של עלילה ודמויות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  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התיאורים המקובלים של השקפת-העולם של ברדיצ'בסקי מבליטים בה את תביעת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זכותו של היחיד בישראל להסיר מעליו את עבותות היהדות הרבנית, חוקיה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ומסורתה, לשם מימוש חופשי של מאווייו היצריים והאינטלקטואליים. ידועה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ומפורסמת קריאתו לבני דורו לחדול מלהיות "יהודים אחרונים", להעדיף את הסיף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על הספר וליהפך ל"עברים ראשונים". ניסוחים עקרוניים נוספים שהשמיע במסגרת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קריאתו ל"שינוי ערכין" בישראל, נהפכו אף הם לסיסמאות מקובלות, שהעמידו אותו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כאחד מאבותיה וממבססיה של הלאומיות היהודית החילונית. ביניהם העדפתו את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ה"יהודים שבפועל" על-פני ה"יהדות המופשטה", קביעתו כי "יתרון לאדם החי על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נחלת אבותיו", והכרזתו הרדיקאלית: "עברים אנו, ואת לבנו נעבוד". ברוח זו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פורשו ענפים אחרים בפעולתו הספרותית, כגון מפעל כינוס האגדות ומחקרי המקרא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שלו, החותר להוכיח את קיומו של זרם אנטי נורמאטיבי, ארצי וטבעי, שנדחק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וטושטש על-ידי כותבי-קורותיה של היהדות הרשמית. כך הובנה גם הימשכותו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בסיפוריו אל דמויות של חוטאים ונידחים, בעלי יצרים ומפירי מוסכמות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והשתדלותו לחשוף כל ניצוץ של חיים וכוח בעיירה היהודית המדולדלת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  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ב-1902 התיישב ברדיצ'בסקי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בברסלאו, ופנה לשורה של תחומים חדשים בעבודתו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הספרותית. במשך שנים אחדות התמסר לכתיבת סיפורים ומאמרים ביידיש, המציגים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את חיי העיירה היהודית בנוסח כמו-עממי וכאילו בלתי-אמצעי מפיהן של דמויות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מפשוטי העם. במקביל עסק בעיבוד ובכינוס של אגדות וסיפורי-עם עבריים, הכין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אנתולוגיות של סיפורים חסידיים, וחיבר מחקרים המעלים תיזות נועזות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ומרחיקות-לכת בסוגיית ראשיתן של היהדות והנצרות. בד בבד המשיך לכתוב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סיפורים ומאמרים בעברית ולכנסם בספרים. ב-1911 עבר לברלין, והתמסר יותר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ויותר לתחומי האגדה והמחקר. מ-1913 הופיעו קבצי האגדות שעיבד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בתרגום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לגרמנית בשתי סדרות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Der Born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Judas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-Die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Sagen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Juden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ובמקביל פרסם בעברית את שני כרכי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"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מאוצר האגדה". בשנות מלחמת העולם הראשונה הוטלו עליו, כנתין של מדינת אויב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רוסיה), הגבלות שונות מטעם השלטון הגרמני. ב-1918 נענה לפנייתו של המו"ל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אברהם יוסף שטיבל, שקיבל על עצמו את הוצאת כל כתביו בתנאי שיחזור ליצירה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ספרותית בעברית. את שלוש שנותיו האחרונות הקדיש לעיבוד כתביו, לניפויים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ולהכשרתם לפרסום במהדורה מסכמת, וליצירה מקורית שפירותיה העיקריים הם שלושת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הרומאנים הקצרים ("בית תבנה", "גרי רחוב", "בסתר רעם") והרומן "מרים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ביצירות אלה הגיע לשיאו השינוי ההדרגתי שהתחולל בפואטיקה של ברדיצ'בסקי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המספר מראשית המאה, ואשר עיקרו הוא החדרת יסודות מיתיים-אגדיים אל המציאות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היהודית המעוצבת בסיפורים. ביניהם: עיצוב הדמויות כחורגות בעוצמתן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ממידות-אנוש וככפופות לכוחות-גורל נעלמים; ריבוי הדהודים לפרשיות קדומות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תנ"כיות ואחרות; תפיסה מחזורית-מעגלית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של הזמן; עיצוב העולם כנתון במאבק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נצחי בין האלוהים והשטן; הדגשת מעמדו של החטא כאפיק לגיטימי למימוש יצרים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תוך פריצת נורמות חברתיות; הגבהה לשונית-סגנונית כחלק מעיצובו המועצם של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העולם המתואר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  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ב-1920 נודע לברדיצ'בסקי כי אביו ואָחִיו נרצחו בפרעות הנרחבות שהתלוו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למלחמת האזרחים באוקראינה, וכי עיירות ילדותו ונעוריו חרבו בפרעות. ידיעות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אלו חיזקו את תחושתו הטראגית, הניכרת בכתביו האחרונים, כי תפקידו "להציב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ציוּן" לעולם היהודי ההולך ונעלם, אך גם ערערו את בריאותו. ברדיצ'בסקי נפטר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בברלין בי"ז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בחשון תרפ"ב, 18 בנובמבר 1921. המהדורה המסכמת של סיפוריו ומאמריו בעברית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וביידיש הופיעה עד 1924 ב-26 כרכים, ומחקריו ההיסטוריים החלו להתפרסם מן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העיזבון ב-1925. ב-1936 הועלה עזבונו ארצה על-ידי אלמנתו רחל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(1879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־1955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ובנו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8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 w:bidi="he-IL"/>
                </w:rPr>
                <w:t>עמנואל בִּן-גריון (1903־1987)</w:t>
              </w:r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שהקדישו את חייהם לשימורה ולטיפוחה של מורשת ברדיצ'בסקי. ארכיונו העשיר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שמור כיום בעיר חולון, ומהדורה מלאה של כתביו מתפרסמת והולכת מ-1996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כתב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hyperlink r:id="rId9" w:history="1">
              <w:r w:rsidRPr="003C36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]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hyperlink r:id="rId10" w:tgtFrame="_blank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[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Originally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prepared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for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The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YIVO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Encyclopedia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of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Jews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in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Eastern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Europe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]</w:t>
              </w:r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cs-CZ" w:bidi="he-IL"/>
              </w:rPr>
              <w:t>מקורות נוספים</w:t>
            </w:r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lang w:eastAsia="cs-CZ" w:bidi="he-IL"/>
              </w:rPr>
              <w:t xml:space="preserve">: </w:t>
            </w:r>
            <w:hyperlink r:id="rId11" w:tgtFrame="_blank" w:history="1">
              <w:r w:rsidRPr="003C3608">
                <w:rPr>
                  <w:rFonts w:ascii="Times New Roman" w:eastAsia="Times New Roman" w:hAnsi="Times New Roman" w:cs="Times New Roman" w:hint="cs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קרסל</w:t>
              </w:r>
            </w:hyperlink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lang w:eastAsia="cs-CZ" w:bidi="he-IL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cs-CZ" w:bidi="he-IL"/>
              </w:rPr>
              <w:t>לעקסיקאָן פון דער נייער יידישער ליטעראַטור</w:t>
            </w:r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lang w:eastAsia="cs-CZ" w:bidi="he-IL"/>
              </w:rPr>
              <w:t xml:space="preserve">, </w:t>
            </w:r>
            <w:hyperlink r:id="rId12" w:tgtFrame="_blank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Yiddish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Leksikon</w:t>
              </w:r>
              <w:proofErr w:type="spellEnd"/>
            </w:hyperlink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lang w:eastAsia="cs-CZ" w:bidi="he-IL"/>
              </w:rPr>
              <w:t xml:space="preserve"> </w:t>
            </w:r>
            <w:hyperlink r:id="rId13" w:tgtFrame="_blank" w:history="1">
              <w:r w:rsidRPr="003C3608">
                <w:rPr>
                  <w:rFonts w:ascii="Times New Roman" w:eastAsia="Times New Roman" w:hAnsi="Times New Roman" w:cs="Times New Roman" w:hint="cs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ויקיפדיה</w:t>
              </w:r>
            </w:hyperlink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lang w:eastAsia="cs-CZ" w:bidi="he-IL"/>
              </w:rPr>
              <w:t xml:space="preserve">, </w:t>
            </w:r>
            <w:hyperlink r:id="rId14" w:tgtFrame="_blank" w:history="1"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Jewish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Encyclopedia</w:t>
              </w:r>
              <w:proofErr w:type="spellEnd"/>
            </w:hyperlink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lang w:eastAsia="cs-CZ" w:bidi="he-IL"/>
              </w:rPr>
              <w:t>]</w:t>
            </w:r>
          </w:p>
          <w:p w:rsidR="003C3608" w:rsidRPr="003C3608" w:rsidRDefault="003C3608" w:rsidP="003C3608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Books"/>
            <w:r w:rsidRPr="003C36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cs-CZ" w:bidi="he-IL"/>
              </w:rPr>
              <w:t>ספריו:</w:t>
            </w:r>
            <w:bookmarkEnd w:id="1"/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רשות היחיד : בעד הרבים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קראקא : דפוס י' פישער, תרנ"ב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על אם הדרך : שמונה-עשר דבר (ווארשא : צעירים, תר"ס 1899)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ערכין : עשרה מאמרות (ווארשא : צעירים, תר"ס 1899)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על הפרק : שמונה דברים (ווארשא : צעירים, תר"ס 1899)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נמושות : שנים עשר דבר (ווארשא : צעירים, תר"ס 1899)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מבית ומחוץ : תמונות וציורים (פיעטרקוב : תושיה, תר"ס 1899)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מחניים : ספור (ווארשא : תושיה, תר"ס 1899)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ספר חסידים : אגדות פרצופים וחזיונות (ווארשא : תושיה, תר"ס 1900)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מעירי הקטנה : רשימות ושרטוטים (פיעטרקוב : תושיה תר"ס 1900)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עורבא פרח : ספור (ווארשא : תושיה, תר"ס 1900)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משני עולמות : ספורים וציורים (ורשה : תושיה, תרס"ב)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דין ודברים : עשרה מאמרות (ווארשא : צעירים, תרס"ב 1902)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מאמרות : עניני מחקר (ורשה : תושיה, תרס"ג 1902)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 w:bidi="he-IL"/>
                </w:rPr>
                <w:t>בספר</w:t>
              </w:r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קונטרס (קראקא : לשכת המרכז של "עבריה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ברן, תרס"ז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בחומר וברוח : דברים עוברים (ברסלוי : צעירים, תרס"ח)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מימי המעשה : קטעים (ברסלוי : צעירים, תרס"ח)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מימין ומשמאל : ארבעה מאמרים (ברסלוי : צעירים, תרס"ט)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מהעבר הקרוב : עשרים וארבעה ספורים (ווארשא : הספר, תרס"ט)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ערבים : דברי מחקר (ברסלוי : צעירים, תר"ע)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בערב : טפוסים ספרותיים (ורשה : תושיה, תר"ע)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חורב : עניני דת (ברסלוי : צעירים, תרע"א)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lastRenderedPageBreak/>
              <w:t>בשירה ובלשון (ורשה : תושיה, תרע"א)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פרי ספר : עניני ביקורת (ורשה : תושיה, תרע"א)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מעמק החיים : ספורים שונים (ורשה : תושיה, תרע"ב 1912)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כתבי מיכה יוסף בן גריון חדשים גם ישנים (ליפסיה : א. י. שטיבל, תרפ"א-תרפ"ה) 20 כר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'.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cs-CZ" w:bidi="he-IL"/>
              </w:rPr>
              <w:t>התוכן</w:t>
            </w:r>
            <w:r w:rsidRPr="003C3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: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א]: מאמרים. מערכה א: בשדה ספר. חלק א: דברי ספרות, שירה ולשון. תרפ"א. קלו,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ב]: מאמרים. מערכה א: בשדה ספר. חלק ב: דור וסופריו. תרפ"א. קכו,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ג]: מאמרים. מערכה א: בשדה ספר. חלק ג: דברי בקרת. תרפ"א. קח,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ד]: מאמרים. מערכה ב: בדרך. חלק א: דברי חזון. תרפ"ב. עז,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ה]: מאמרים. מערכה ב: בדרך. חלק ב: שנוי ערכין. תרפ"ב. פג,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ו]: מאמרים. מערכה ב: בדרך. חלק ג: עם וארץ. תרפ"ב. קכז,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ז]: מאמרים. מערכה ג: מחשבות ותורות. חלק א: משני עברים. תרפ"ב. קסז,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ח]: מאמרים. מערכה ג: מחשבות ותורות. חלק ב: חוקים וספרים. תרפ"ב. קנח,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ט]: מאמרים. מערכה ג: מחשבות ותורות. חלק ג: לפנות ערב. תרפ"ב. קיג,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י]: ספורים. מערכה א, חלק א: בין החומות. תרפ"ג. קל,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יא]: ספורים. מערכה א, חלק ב: מאורעות ומעשים. תרפ"ג. קפו,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יב]: ספורים. מערכה א, חלק ג: רומנים קצרים. תרפ"ג. ריז, [3]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יג]: ספורים. מערכה ב, חלק א: מחוץ לתחום. תרפ"ג. קנז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יד]: ספורים. מערכה ב, חלק ב: מעמק רפאים. תרפ"ג. קכ, [3]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טו]: ספורים. מערכה ב, חלק ג: מרים : רומן מחיי שתי עירות. תרפ"ג. קנד, [2]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טז]: צפונות ואגדות. מערכה א: מני קדם. חלק א: מספורי בראשית. תרפ"ד. רז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יז]: צפונות. ואגדות מערכה א: מני קדם. חלק ב: משלשה מועדים. תרפ"ד. רנב,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יח]: צפונות ואגדות. מערכה א: מני קדם. חלק ג: מימי התלמוד. תרפ"ד. קצה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יט]: צפונות ואגדות. מערכה ב: אגדות עם. חלק א: מימי הבינים. תרפ"ה. רג,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כ]: צפונות ואגדות. מערכה ב: אגדות עם. חלק ב: מימי הקבלה והחסידות. תרפ"ה. קע,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כתבי מיכה יוסף בן גריון חדשים גם ישנים (תל אביב : א. י. שטיבל, תרצ"ו)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מהד' שניה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&gt; 17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כר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'.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cs-CZ" w:bidi="he-IL"/>
              </w:rPr>
              <w:t>התוכן</w:t>
            </w:r>
            <w:r w:rsidRPr="003C3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: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א]: מאמרים. מערכה א: בשדה ספר. חלק א: דברי ספרות, שירה ולשון. קלו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ב]: מאמרים. מערכה א: בשדה ספר. חלק ב: דור וסופריו. קכו,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ג]: מאמרים. מערכה א: בשדה ספר. חלק ג: דברי בקרת. קח,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ד]: מאמרים. מערכה ב: בדרך. חלק א: דברי חזון. עז,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ה]: מאמרים. מערכה ב: בדרך. חלק ב: שנוי ערכין. פג,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ו]: מאמרים. מערכה ב: בדרך. חלק ג: עם וארץ. קכז,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ז]: מאמרים. מערכה ג: מחשבות ותורות. חלק א: משני עברים. קסז,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ח]: מאמרים. מערכה ג: מחשבות ותורות. חלק ב: חוקים וספרים. קנח,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ט]: מאמרים. מערכה ג: מחשבות ותורות. חלק ג: לפנות ערב. קיג,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י]: ספורים. מערכה א, חלק א: בין החומות. קל,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יא]: ספורים. מערכה א, חלק ב: מאורעות ומעשים. קפו,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יב]: ספורים. מערכה א, חלק ג: רומנים קצרים. ריז,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יג]: ספורים. מערכה ב, חלק א: מחוץ לתחום. קנז,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יד]: ספורים. מערכה ב, חלק ב: מעמק רפאים. קכ,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טו]: ספורים. מערכה ב, חלק ג: מרים : רומן מחיי שתי עירות. קנד,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טז]: על אדמת נכר. חלק א: שני דורות. צח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יז]: על אדמת נכר. חלק ב: על יהדות המזרח. ק-קצא, [1] עמ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’.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ספורים (ניו יורק :הוצאת קרן ישראל מץ, תרצ"ט)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ליקט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וערך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hyperlink r:id="rId16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מנחם ריבולוב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הסיפורים לוקטו מתוך כתבי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מ.י. ברדיצ'בסקי שיצאו לאור בהוצאת א.י. שטיבל, ליפסיה, תרפ"ג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...&gt;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lastRenderedPageBreak/>
              <w:t>ממקור ישראל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יידישע כתבים פון א ווייטן קרוב (ניו יאָרק : איקוף, 1948־1951) 2 כר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'.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כל מאמרי מיכה יוסף בן-גריון ברדיצ'בסקי (תל אביב : הוצאת עם עובד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תשי"ב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מ"י ברדיצ'בסקי (מ.י. בן גריון)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hyperlink r:id="rId17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 w:bidi="he-IL"/>
                </w:rPr>
                <w:t>יוסף חיים ברנר</w:t>
              </w:r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חליפת אגרות, תרס"ז-תרפ"א (תל אביב : הקיבוץ המאוחד, תשכ"ב 1962)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המביא לבית הדפוס - שלמה ברטונוב ; אחרית דבר - עמנואל בן-גריון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 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מהדורה שניה יצאה לאור בהוצאת בית דבורה ועמנואל בשנת תשמ"ד 1984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מקורות וחקרם : מקרא ומחקר מעזבונו של מיכה יוסף בן-גריון (ברדיצ'בסקי)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תל אביב : מורשת מיכה יוסף, תשכ"ה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הסדיר והביא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לבית-הדפוס – עמנואל בן-גריון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מרים : רומן מחיי שתי עיירות (תל אביב : יחדיו ואגודת הסופרים העברים בישראל, תשל"ב 1971)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הקדים מבוא והוסיף ביבליוגרפיה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18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דן מירון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;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הסברים והערות - שלמה ברטונוב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עמל-יום והגותו : פרקי יומן (חולון : מורשת מיכה יוסף, תשל"ה 1974)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מגרמנית לעברית – רחל בן-גריון ; הביא לבית-הדפוס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hyperlink r:id="rId19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עמנואל בִּן-גריון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יידישע כתבים פון א ווייטן קרוב (ירושלים : האוניברסיטה העברית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החוג ליידיש, הוועד לתרבות יהודית בישראל, הוצאת ספרים ע"ש י"ל מאגנס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תשמ"א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כולל מבוא בעברית, ביידיש ובאנגלית מאת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20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שמואל ורסס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שלושה רומאנים קצרים : בסתר רעם ; בית תבנה ; גרי רחוב (תל אביב : משרד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הבטחון - ההוצאה לאור : ספרית תרמיל, תשמ"ב 1982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אמרות / ליקט, תירגם והוסיף מבוא והערות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hyperlink r:id="rId21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 w:bidi="he-IL"/>
                </w:rPr>
                <w:t>יוסף אבן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ירושלים ; תל-אביב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דביר, תשמ"ג 1982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פרקי וולוז'ין (תרמ"ח) : עולם האצילות : צרור מכתבים מאת בר-בי-רב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חולון : בית דבורה ועמנואל : הוצאת רשפים, תשמ"ד 1984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cs-CZ" w:bidi="he-IL"/>
              </w:rPr>
              <w:t>על הקשר בין אתיקה לאסתטיקה (תל אביב : הוצאת הקיבוץ המאוחד, 1986</w:t>
            </w:r>
            <w:r w:rsidRPr="003C3608">
              <w:rPr>
                <w:rFonts w:ascii="Times New Roman" w:eastAsia="Times New Roman" w:hAnsi="Times New Roman" w:cs="Times New Roman" w:hint="cs"/>
                <w:sz w:val="24"/>
                <w:szCs w:val="24"/>
                <w:lang w:eastAsia="cs-CZ" w:bidi="he-IL"/>
              </w:rPr>
              <w:t xml:space="preserve">) </w:t>
            </w:r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lang w:eastAsia="cs-CZ" w:bidi="he-IL"/>
              </w:rPr>
              <w:t>&lt;</w:t>
            </w:r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cs-CZ" w:bidi="he-IL"/>
              </w:rPr>
              <w:t>תירגם מגרמנית, ערך והקדים – אלכסנדר ברזל</w:t>
            </w:r>
            <w:r w:rsidRPr="003C3608">
              <w:rPr>
                <w:rFonts w:ascii="Times New Roman" w:eastAsia="Times New Roman" w:hAnsi="Times New Roman" w:cs="Times New Roman" w:hint="cs"/>
                <w:sz w:val="20"/>
                <w:szCs w:val="20"/>
                <w:lang w:eastAsia="cs-CZ" w:bidi="he-IL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כתבי מיכה יוסף ברדיצ'בסקי (בן גריון) / בעריכת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hyperlink r:id="rId22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ויצחק כפכפי (תל אביב : הקיבוץ המאוחד, 1996־2017)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התוכן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א. כתבים ראשונים, 1886־1888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ב. כתבים ראשונים, 1888־1890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ג. במכללות המערב, 1891־1895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ד. בין התחומים, 1894־1898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ה. שינוי ערכים: מאמרים, 1986־1899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ו. שינוי ערכים (ב): מאמרים, 1899־1902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23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ז. סיפורים, 1898־1904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24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בשיתוף עם בית שלום עליכם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ח. מאמרים, 1903־1908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25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בשיתוף עם בית שלום עליכם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ט. סיפורי יידיש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26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;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תרגמו - מ"ז ולפובסקי, יצחק כפכפי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בשיתוף עם בית שלום עליכם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י. מאמרים ביידיש, מאמרים בגרמנית, הגיגים מן היומן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27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;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תרגמו - יצחק כפכפי, שלמה הרברג, מ"ז ולפובסקי, יוסף אבן. בשיתוף עם בית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שלום עליכם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יא. סיפורים 1905־1913 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28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יב. סיפורים ורומנים קצרים 1919־1921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29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יג. מאמרים, 1909־1913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30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יד. מאמרים, 1913־1921 / בעריכת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31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ילקוט מיכה יוסף ברדיצ'בסקי (בִּן-גָריוֹן) / ליקט והקדים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hyperlink r:id="rId32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 w:bidi="he-IL"/>
                </w:rPr>
                <w:t>עמנואל בִּן-גָריוֹן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ניו-יורק-תל-אביב : הוצאת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קרן ישראל מץ בשיתוף קרן ספריית יצחק קיוב, תשמ"ד 1983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חליפת אגרות : תרס"ז-תרפ"א / מיכה יוסף ברדיצ'בסקי (מ. י. בן-גריון)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יוסף חיים ברנר (חולון : בית דבורה ועמנואל תשמ"ד 1984)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ההדיר – שלמה ברטונוב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 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יצא לאור לראשונה בהוצאת הקיבוץ המאוחד, תל אביב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תשכ"ב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רומן גמור: מרים (חיפה : הוצאת הספרים של אוניברסיטת חיפה, תשנ"ז 1997)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מהדורה מחקרית - צפורה כגן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 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כולל מאמרי מחקר על הרומן והרומן עצמו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Miriam &amp;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other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stories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gram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M.Y.</w:t>
            </w:r>
            <w:proofErr w:type="gram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Berdichevsky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; [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edited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and]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hyperlink r:id="rId33" w:history="1"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Avner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Holtzman</w:t>
              </w:r>
              <w:proofErr w:type="spellEnd"/>
            </w:hyperlink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translated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Richard Flint ... and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others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] (New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Milford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Ct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: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Toby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2004)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רעם היופי (תל אביב : הקיבוץ המאוחד : הספריה החדשה, תשס"ט 2009)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ערך והוסיף אחרית-דבר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hyperlink r:id="rId34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מרים : רומאן מחיי שתי עיירות (בני ברק : הקיבוץ המאוחד : ספרי סימן קריאה : כנרת, זמורה-ביתן, תשע"א 2011)</w:t>
            </w:r>
            <w:r w:rsidRPr="003C3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כולל הערות ואחרית-דבר מאת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35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אבנר הולצמן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cs-CZ" w:bidi="he-IL"/>
              </w:rPr>
              <w:t>עריכה</w:t>
            </w:r>
            <w:r w:rsidRPr="003C36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:</w:t>
            </w:r>
          </w:p>
          <w:p w:rsidR="003C3608" w:rsidRPr="003C3608" w:rsidRDefault="003C3608" w:rsidP="003C36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Bib."/>
            <w:r w:rsidRPr="003C36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cs-CZ" w:bidi="he-IL"/>
              </w:rPr>
              <w:t>על המחבר ויצירתו</w:t>
            </w:r>
            <w:r w:rsidRPr="003C36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:</w:t>
            </w:r>
            <w:bookmarkEnd w:id="2"/>
          </w:p>
          <w:p w:rsidR="003C3608" w:rsidRPr="003C3608" w:rsidRDefault="003C3608" w:rsidP="003C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cs-CZ" w:bidi="he-IL"/>
              </w:rPr>
              <w:t>ביבליוגרפיה</w:t>
            </w:r>
            <w:r w:rsidRPr="003C3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: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3C3608" w:rsidRPr="003C3608" w:rsidRDefault="003C3608" w:rsidP="003C36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" w:history="1">
              <w:r w:rsidRPr="003C36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אלמגור, דן</w:t>
              </w:r>
              <w:r w:rsidRPr="003C36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 </w:t>
            </w:r>
            <w:r w:rsidRPr="003C3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נחלת מי"ב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מפתח ביבליוגרפי ליצירות מיכה יוסף ברדיצ'בסקי-בן-גוריון ולחיבורים על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אודותיו (תל-אביב : הקיבוץ המאוחד, תשמ"ב)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בשיתוף שמואל פישמן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3C3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cs-CZ" w:bidi="he-IL"/>
              </w:rPr>
              <w:t>על הספר</w:t>
            </w:r>
            <w:r w:rsidRPr="003C3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:</w:t>
            </w:r>
          </w:p>
          <w:p w:rsidR="003C3608" w:rsidRPr="003C3608" w:rsidRDefault="003C3608" w:rsidP="003C3608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" w:history="1">
              <w:r w:rsidRPr="003C36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ורסס, שמואל</w:t>
              </w:r>
              <w:r w:rsidRPr="003C36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[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על] דן אלמגור : שמואל פישמן, "נחלת מי"ב; מפתח ביבליוגרפי ליצירות מיכה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יוסף ברדיצ'בסקי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בן-גריון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&gt;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ולחיבורים אודותיו" (תשמ"ב)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rtl/>
                <w:lang w:eastAsia="cs-CZ" w:bidi="he-IL"/>
              </w:rPr>
              <w:t>קרית ספר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כרך נ"ז, חוב' ג/ד (תשמ"ב), עמ' 684־700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כולל 186 ערכים משלימים לביבליוגרפיה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3C3608" w:rsidRPr="003C3608" w:rsidRDefault="003C3608" w:rsidP="003C3608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3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Jacobson, David C.</w:t>
            </w:r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hyperlink r:id="rId38" w:tgtFrame="_blank" w:history="1"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Fiction and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history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in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the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writings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of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Micha</w:t>
              </w:r>
              <w:proofErr w:type="spellEnd"/>
              <w:proofErr w:type="gram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Yosef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Berdyczewski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(Bin-</w:t>
              </w:r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Gorion</w:t>
              </w:r>
              <w:proofErr w:type="spellEnd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  </w:t>
            </w:r>
            <w:hyperlink r:id="rId39" w:anchor="0302" w:history="1">
              <w:proofErr w:type="spellStart"/>
              <w:r w:rsidRPr="003C36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Prooftexts</w:t>
              </w:r>
              <w:proofErr w:type="spellEnd"/>
            </w:hyperlink>
            <w:r w:rsidRPr="003C36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vol. 3, no. 2 (May 1983), pp. 205-210.</w:t>
            </w:r>
          </w:p>
        </w:tc>
        <w:tc>
          <w:tcPr>
            <w:tcW w:w="0" w:type="auto"/>
            <w:vAlign w:val="center"/>
            <w:hideMark/>
          </w:tcPr>
          <w:p w:rsidR="003C3608" w:rsidRPr="003C3608" w:rsidRDefault="003C3608" w:rsidP="003C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F24FC" w:rsidRDefault="007F24FC" w:rsidP="003C3608">
      <w:pPr>
        <w:jc w:val="right"/>
      </w:pPr>
    </w:p>
    <w:sectPr w:rsidR="007F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342F"/>
    <w:multiLevelType w:val="multilevel"/>
    <w:tmpl w:val="5D529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4B005D8"/>
    <w:multiLevelType w:val="multilevel"/>
    <w:tmpl w:val="BD12EC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AA"/>
    <w:rsid w:val="00150D2C"/>
    <w:rsid w:val="00202BEF"/>
    <w:rsid w:val="003241E9"/>
    <w:rsid w:val="00355D22"/>
    <w:rsid w:val="00377827"/>
    <w:rsid w:val="003C3608"/>
    <w:rsid w:val="004420BC"/>
    <w:rsid w:val="00447D08"/>
    <w:rsid w:val="005464C4"/>
    <w:rsid w:val="00720260"/>
    <w:rsid w:val="007B5B83"/>
    <w:rsid w:val="007F24FC"/>
    <w:rsid w:val="00803C7D"/>
    <w:rsid w:val="008C6306"/>
    <w:rsid w:val="00935FCF"/>
    <w:rsid w:val="00A1595B"/>
    <w:rsid w:val="00A53749"/>
    <w:rsid w:val="00AE0BAA"/>
    <w:rsid w:val="00AE0FC4"/>
    <w:rsid w:val="00B57B08"/>
    <w:rsid w:val="00C55DF1"/>
    <w:rsid w:val="00C87801"/>
    <w:rsid w:val="00D1166B"/>
    <w:rsid w:val="00E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2167-2CB8-4698-B6FD-FEF7095A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6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">
    <w:name w:val="margin"/>
    <w:basedOn w:val="Normln"/>
    <w:rsid w:val="003C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osu.edu/projects/hebrew-lexicon/01962.php" TargetMode="External"/><Relationship Id="rId13" Type="http://schemas.openxmlformats.org/officeDocument/2006/relationships/hyperlink" Target="http://he.wikipedia.org/wiki/&#1502;&#1497;&#1499;&#1492;_&#1497;&#1493;&#1505;&#1507;_&#1489;&#1512;&#1491;&#1497;&#1510;'&#1489;&#1505;&#1511;&#1497;" TargetMode="External"/><Relationship Id="rId18" Type="http://schemas.openxmlformats.org/officeDocument/2006/relationships/hyperlink" Target="https://library.osu.edu/projects/hebrew-lexicon/00614.php" TargetMode="External"/><Relationship Id="rId26" Type="http://schemas.openxmlformats.org/officeDocument/2006/relationships/hyperlink" Target="https://library.osu.edu/projects/hebrew-lexicon/00823.php" TargetMode="External"/><Relationship Id="rId39" Type="http://schemas.openxmlformats.org/officeDocument/2006/relationships/hyperlink" Target="https://library.osu.edu/projects/hebrew-lexicon/99995056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osu.edu/projects/hebrew-lexicon/02763.php" TargetMode="External"/><Relationship Id="rId34" Type="http://schemas.openxmlformats.org/officeDocument/2006/relationships/hyperlink" Target="https://library.osu.edu/projects/hebrew-lexicon/00823.ph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yleksikon.blogspot.com/2015/03/micha-josef-berdyczewski.html" TargetMode="External"/><Relationship Id="rId17" Type="http://schemas.openxmlformats.org/officeDocument/2006/relationships/hyperlink" Target="https://library.osu.edu/projects/hebrew-lexicon/02001.php" TargetMode="External"/><Relationship Id="rId25" Type="http://schemas.openxmlformats.org/officeDocument/2006/relationships/hyperlink" Target="https://library.osu.edu/projects/hebrew-lexicon/00823.php" TargetMode="External"/><Relationship Id="rId33" Type="http://schemas.openxmlformats.org/officeDocument/2006/relationships/hyperlink" Target="https://library.osu.edu/projects/hebrew-lexicon/00823.php" TargetMode="External"/><Relationship Id="rId38" Type="http://schemas.openxmlformats.org/officeDocument/2006/relationships/hyperlink" Target="http://www.jstor.org/stable/206890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.osu.edu/projects/hebrew-lexicon/01370.php" TargetMode="External"/><Relationship Id="rId20" Type="http://schemas.openxmlformats.org/officeDocument/2006/relationships/hyperlink" Target="https://library.osu.edu/projects/hebrew-lexicon/00086.php" TargetMode="External"/><Relationship Id="rId29" Type="http://schemas.openxmlformats.org/officeDocument/2006/relationships/hyperlink" Target="https://library.osu.edu/projects/hebrew-lexicon/00823.ph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ibrary.osu.edu/projects/hebrew-lexicon/02020-files/02020208.pdf" TargetMode="External"/><Relationship Id="rId24" Type="http://schemas.openxmlformats.org/officeDocument/2006/relationships/hyperlink" Target="https://library.osu.edu/projects/hebrew-lexicon/00823.php" TargetMode="External"/><Relationship Id="rId32" Type="http://schemas.openxmlformats.org/officeDocument/2006/relationships/hyperlink" Target="https://library.osu.edu/projects/hebrew-lexicon/01962.php" TargetMode="External"/><Relationship Id="rId37" Type="http://schemas.openxmlformats.org/officeDocument/2006/relationships/hyperlink" Target="https://library.osu.edu/projects/hebrew-lexicon/00086.ph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osu.edu/projects/hebrew-lexicon/index.htm" TargetMode="External"/><Relationship Id="rId15" Type="http://schemas.openxmlformats.org/officeDocument/2006/relationships/hyperlink" Target="http://babel.hathitrust.org/cgi/pt?id=mdp.39015065548078;view=1up;seq=1" TargetMode="External"/><Relationship Id="rId23" Type="http://schemas.openxmlformats.org/officeDocument/2006/relationships/hyperlink" Target="https://library.osu.edu/projects/hebrew-lexicon/00823.php" TargetMode="External"/><Relationship Id="rId28" Type="http://schemas.openxmlformats.org/officeDocument/2006/relationships/hyperlink" Target="https://library.osu.edu/projects/hebrew-lexicon/00823.php" TargetMode="External"/><Relationship Id="rId36" Type="http://schemas.openxmlformats.org/officeDocument/2006/relationships/hyperlink" Target="https://library.osu.edu/projects/hebrew-lexicon/01301.php" TargetMode="External"/><Relationship Id="rId10" Type="http://schemas.openxmlformats.org/officeDocument/2006/relationships/hyperlink" Target="http://www.yivoencyclopedia.org/article.aspx/Berdyczewski_Mikhah_Yosef" TargetMode="External"/><Relationship Id="rId19" Type="http://schemas.openxmlformats.org/officeDocument/2006/relationships/hyperlink" Target="https://library.osu.edu/projects/hebrew-lexicon/01962.php" TargetMode="External"/><Relationship Id="rId31" Type="http://schemas.openxmlformats.org/officeDocument/2006/relationships/hyperlink" Target="https://library.osu.edu/projects/hebrew-lexicon/0082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osu.edu/projects/hebrew-lexicon/00823.php" TargetMode="External"/><Relationship Id="rId14" Type="http://schemas.openxmlformats.org/officeDocument/2006/relationships/hyperlink" Target="http://www.jewishencyclopedia.com/view.jsp?artid=799&amp;letter=B" TargetMode="External"/><Relationship Id="rId22" Type="http://schemas.openxmlformats.org/officeDocument/2006/relationships/hyperlink" Target="https://library.osu.edu/projects/hebrew-lexicon/00823.php" TargetMode="External"/><Relationship Id="rId27" Type="http://schemas.openxmlformats.org/officeDocument/2006/relationships/hyperlink" Target="https://library.osu.edu/projects/hebrew-lexicon/00823.php" TargetMode="External"/><Relationship Id="rId30" Type="http://schemas.openxmlformats.org/officeDocument/2006/relationships/hyperlink" Target="https://library.osu.edu/projects/hebrew-lexicon/00823.php" TargetMode="External"/><Relationship Id="rId35" Type="http://schemas.openxmlformats.org/officeDocument/2006/relationships/hyperlink" Target="https://library.osu.edu/projects/hebrew-lexicon/00823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2622</Words>
  <Characters>15474</Characters>
  <Application>Microsoft Office Word</Application>
  <DocSecurity>0</DocSecurity>
  <Lines>128</Lines>
  <Paragraphs>36</Paragraphs>
  <ScaleCrop>false</ScaleCrop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Bousek, Daniel</dc:creator>
  <cp:keywords/>
  <dc:description/>
  <cp:lastModifiedBy>Bousek, Daniel</cp:lastModifiedBy>
  <cp:revision>2</cp:revision>
  <dcterms:created xsi:type="dcterms:W3CDTF">2020-04-19T09:05:00Z</dcterms:created>
  <dcterms:modified xsi:type="dcterms:W3CDTF">2020-04-19T09:06:00Z</dcterms:modified>
</cp:coreProperties>
</file>