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5E06" w:rsidRPr="00DE5E06" w:rsidTr="00DE5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E06" w:rsidRPr="00DE5E06" w:rsidRDefault="00DE5E06" w:rsidP="00DE5E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proofErr w:type="spellStart"/>
            <w:r w:rsidRPr="00DE5E0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cs-CZ"/>
              </w:rPr>
              <w:t>Ya'akov</w:t>
            </w:r>
            <w:proofErr w:type="spellEnd"/>
            <w:r w:rsidRPr="00DE5E0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DE5E0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cs-CZ"/>
              </w:rPr>
              <w:t>Rabinowitz</w:t>
            </w:r>
            <w:proofErr w:type="spellEnd"/>
          </w:p>
        </w:tc>
      </w:tr>
    </w:tbl>
    <w:p w:rsidR="00DE5E06" w:rsidRPr="00DE5E06" w:rsidRDefault="00DE5E06" w:rsidP="00DE5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E0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95250" distR="95250" simplePos="0" relativeHeight="251659264" behindDoc="0" locked="0" layoutInCell="1" allowOverlap="0" wp14:anchorId="592E8D52" wp14:editId="69F077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57450"/>
            <wp:effectExtent l="0" t="0" r="0" b="0"/>
            <wp:wrapSquare wrapText="bothSides"/>
            <wp:docPr id="1" name="Obrázek 1" descr="https://library.osu.edu/projects/hebrew-lexicon/01139-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osu.edu/projects/hebrew-lexicon/01139-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סופר,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משורר, מתרגם, עורך ומבקר. נולד בוולקוביסק, שברוסיה הלבנה (בלארוס), בי"ב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בכסלו תרל"ו, 10 בדצמבר 1875. בן למשפחת רבנים. לאחר שנות לימודי קודש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וחול ועיסוק בהוראה בוויטבסק, יצא לשווייץ (1900) ושהה שם עד 1904. תחילת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דרכו הספרותית היתה בגרמנית בבטאונו הציוני-סוציאליסטי של שאול רפאל לנדאו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DE5E06">
        <w:rPr>
          <w:rFonts w:ascii="Times New Roman" w:eastAsia="Times New Roman" w:hAnsi="Times New Roman" w:cs="Times New Roman"/>
          <w:sz w:val="24"/>
          <w:szCs w:val="24"/>
          <w:lang w:eastAsia="cs-CZ"/>
        </w:rPr>
        <w:t>jücirclehe</w:t>
      </w:r>
      <w:proofErr w:type="spellEnd"/>
      <w:r w:rsidRPr="00DE5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E06">
        <w:rPr>
          <w:rFonts w:ascii="Times New Roman" w:eastAsia="Times New Roman" w:hAnsi="Times New Roman" w:cs="Times New Roman"/>
          <w:sz w:val="24"/>
          <w:szCs w:val="24"/>
          <w:lang w:eastAsia="cs-CZ"/>
        </w:rPr>
        <w:t>Arbeiter</w:t>
      </w:r>
      <w:proofErr w:type="spellEnd"/>
      <w:r w:rsidRPr="00DE5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וינה 1898־1903). סיפורים בעברית החל לפרסם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ב"הדור" של דוד פרישמן ב-1901 וב"הצופה". עם שובו לרוסיה החל בפעילות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ציונית. ב-1905 ביקר בארץ-ישראל ואת רשמי מסעו פירסם ה"השלוח" (כרך ט"ז).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מ-1907 עד עלייתו ב-1910 עבד בוועד האודסאי והיה יד ימינו של מנחם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אוסישקין. בארץ, התיישב בפתח-תקווה, בה חי עד 1923 ומאז היה בתל-אביב. הוא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השתתף בכתיבה פובליצסטית ב"הפועל הצעיר" וייסד עם אשר ברש את כתב-העת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"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הדים" (תרפ"ב-תר"ץ). "הדים" ריכז את המשמרת הותיקה והצעירה בספרות והיה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הגילוי המובהק של האווירה הספרותית בארץ מאז העלייה השלישית. רבינוביץ עצמו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פירסם ב"הדים" מסות מקיפות על סופרים, רשימות-תגובה קצרות (בחתימת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"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רף-רף") וכן מסה מקיפה על תורתו של יוליוס ולהאוזן (בחתימת" "לא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תיאולוג"). רבינוביץ היה גם בעל מדור קבוע לפובליצסטיקה ב"דבר" (ולאחר מכן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ב"בוסתנאי", "הבוקר" ועוד).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נפגע בתאונת דרכים ונפטר בתל-אביב בכ"ד באדר ב' תש"ח, 4 באפריל 1948.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br/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[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מקורות: קרסל, לעקסיקאָן פון דער נייער יידישער ליטעראטור,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Yiddish </w:t>
      </w:r>
      <w:proofErr w:type="spellStart"/>
      <w:r w:rsidRPr="00DE5E06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Leksikon</w:t>
      </w:r>
      <w:proofErr w:type="spellEnd"/>
      <w:r w:rsidRPr="00DE5E06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6" w:tgtFrame="_blank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ויקיפדיה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]</w:t>
      </w:r>
    </w:p>
    <w:p w:rsidR="00DE5E06" w:rsidRPr="00DE5E06" w:rsidRDefault="00DE5E06" w:rsidP="00DE5E06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bookmarkStart w:id="1" w:name="Books"/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t>ספריו:</w:t>
      </w:r>
      <w:bookmarkEnd w:id="1"/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ספורים וציורים (ורשה : תושיה, תרס"ה 1905)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נדפס מחדש בתרע"ב 1911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מעשה בבן מלך (ורשה : תושיה, תרס"ז)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סיפור לילדים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באין שורש (יפו : דפוס א. אתין, תרע"ד 1914)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סיפור היסטורי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אור ואד : ספורים (תל-אביב : שטיבל, תרפ"ב 1922)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סתו : שירים : תרס"ח-תרפ"ה (תל אביב : הדים, תרפ"ו)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לתורתו של ולהויזן (תל אביב : הדים, תרפ"ח)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בחתימת "לא תיאולוג"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נדודי עמשי השומר : ספור (ירושלים : מצפה, 1929)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נוה קיץ : ספור (תל-אביב : מצפה, תרצ"ד)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השגות : מאמרים ורשימות (תל-אביב : מצפה, תרצ"ה 1935)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במוט עמים : ספור מימי ממלכת ישראל (תל-אביב : מ. ניומן, תש"ו 1946)</w:t>
      </w:r>
    </w:p>
    <w:p w:rsidR="00DE5E06" w:rsidRPr="00DE5E06" w:rsidRDefault="00DE5E06" w:rsidP="00DE5E0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מסלולי ספרות / ליקט ורשם קווים ביאוגרפיים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hyperlink r:id="rId7" w:history="1">
        <w:r w:rsidRPr="00DE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 w:bidi="he-IL"/>
          </w:rPr>
          <w:t>יעקב הר-אבן</w:t>
        </w:r>
      </w:hyperlink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;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ערך,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hyperlink r:id="rId8" w:history="1">
        <w:r w:rsidRPr="00DE5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 w:bidi="he-IL"/>
          </w:rPr>
          <w:t>ישראל כהן</w:t>
        </w:r>
      </w:hyperlink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(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תל אביב : מ. ניומן : אגודת הסופרים בישראל, 1971) 2 כר'.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כוללים: רשימת העתונים וכתבי העת שבהם נתפרסמו המאמרים וכן רשימת כינוייו הספרותיים של יעקב רבינוביץ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t>ספרים ביידיש: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טעריטאָריאליזם אָדער ציוניזם / פון ציוני פראָלעטארי (קראקאָ : דפוס פישער, 1904)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 xml:space="preserve">סעפאראט אָפדרוק פון העפט </w:t>
      </w:r>
      <w:r w:rsidRPr="00DE5E06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־</w:t>
      </w:r>
      <w:proofErr w:type="spellStart"/>
      <w:r w:rsidRPr="00DE5E06">
        <w:rPr>
          <w:rFonts w:ascii="Times New Roman" w:eastAsia="Times New Roman" w:hAnsi="Times New Roman" w:cs="Times New Roman"/>
          <w:sz w:val="20"/>
          <w:szCs w:val="20"/>
          <w:lang w:eastAsia="cs-CZ"/>
        </w:rPr>
        <w:t>vi</w:t>
      </w:r>
      <w:proofErr w:type="spellEnd"/>
      <w:r w:rsidRPr="00DE5E0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(1904) 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די יודישע צוקונפט"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ארץ ישראל, אָדער, אוגאנדא? / פון ציוני פשוט (ווילנא : דפוס פ' גארבער, תרס"ה 1904)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דאָס אידישע עלעמענט אין ארץ ישראל : נאך פארשיעדענע קוועלען בעארבייט / פון ציוני פשוט (אָדעסא : פאלעסטינא, תרס"ו)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פאר וואָס ארץ ישראל / פון יעקב ראבינאָוויטש (אָדעססא : ציוניסטישע קאָפיקע ביבליאָטעק, תרס"ח)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וואָס איז אזוינס ארץ ישראל / פון ציוני פשוט (אָדעס : ציוניסטישע קאָפיקע ביבליאָטעק, תרס"ט)</w:t>
      </w:r>
    </w:p>
    <w:p w:rsidR="00DE5E06" w:rsidRPr="00DE5E06" w:rsidRDefault="00DE5E06" w:rsidP="00DE5E06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די וויכטיגקייט פון יודישען ארבייטער אין ארץ ישראל / פון ציוני פשוט (אָדעס : ציוניסטישע קאָפיקע ביבליאָטעק, תרע"ב)</w:t>
      </w:r>
    </w:p>
    <w:p w:rsidR="00DE5E06" w:rsidRPr="00DE5E06" w:rsidRDefault="00DE5E06" w:rsidP="00DE5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lastRenderedPageBreak/>
        <w:t>עריכה:</w:t>
      </w:r>
    </w:p>
    <w:p w:rsidR="00DE5E06" w:rsidRPr="00DE5E06" w:rsidRDefault="00DE5E06" w:rsidP="00DE5E06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הדים : קבץ ספרותי / ערוך ע"י יעקב רבינוביץ ואשר ברש (תל-אביב : הדים, תרפ"ב-תר"ץ)</w:t>
      </w:r>
    </w:p>
    <w:p w:rsidR="00DE5E06" w:rsidRPr="00DE5E06" w:rsidRDefault="00DE5E06" w:rsidP="00DE5E06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ספר-סמבטיון / העורכים: ר. אלקלעי וי. רבינוביץ (תל-אביב : איגוד סופרים לאומיים "נמרוד", תש"ג)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דורון למשה סמבטיון לקבלו פרס עיריית תל-אביב בעד ספרו "שמון עברי"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t>תרגום: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קו אור-נצח : ספור / מאת פטר רוזגר (ורשה : תושיה, תרס"ז)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הצחוק : (מאגדות רבי ישראל בעל-שם טוב) / מאת ש. אנ-סקי (אודיסה : ספרי, תרע"ז)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ירושלים / סלמה לגרליף (יפו : ספריה חקלאית, תרפ"א-תרפ"ח)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מהדורה שניה יצאה לאור על-ידי שמשון מלצר בהוצאת מ.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ניומן בתשי"ז. מהדורות מצולמות של המהדורה השניה יצאו בהוצאת דקל בתשכ"ט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(1968)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ובהוצאת אריאל בתשנ"ט (1999)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יולינוס הכופר : רומן היסטורי / מאת מרז'קובסקי (ירושלם : מצפה, תרפ"ז)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ליד הדרך : רומן / הרמן בנג (תל-אביב : שטיבל, תרפ"ח)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התוכן: ליד הדרך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רומן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&gt; -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על האשר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ספור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&gt; -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על ההולך למות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ספור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שלשה ספורים / גוסטב פלובר (ירושלם : מצפה, תרפ"ח)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התוכן: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לב פשוט - אגדת יולינוס הקדוש – הורודיה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הסיפורים "אגדת יוליאנוס"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ו"לב פשוט" יצאו לאור מחדש במסגרת ספרית תרמיל של משרד הבטחון בתשכ"ז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&lt;1967&gt;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ובתשמ"ג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&lt;1982&gt;&gt;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העכביש השחור : וספורים אחרים / מאת ירמיה גוטהלף (ירושלים ; תל-אביב : מצפה, תרפ"ט)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יצא לאור מחדש במסגרת ספרית תרמיל של משרד הבטחון בתשל"ג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נפילים בארץ : סגת הערבה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רומן מחיי החלוצים הנורבגים באמריקה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&gt; / </w:t>
      </w:r>
      <w:r w:rsidRPr="00DE5E0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אולי אדורד רלווג (תל אביב : מצפה, תרצ"ג)</w:t>
      </w:r>
    </w:p>
    <w:p w:rsidR="00DE5E06" w:rsidRPr="00DE5E06" w:rsidRDefault="00DE5E06" w:rsidP="00DE5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bookmarkStart w:id="2" w:name="Bib."/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t>על המחבר ויצירתו:</w:t>
      </w:r>
      <w:bookmarkEnd w:id="2"/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9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בן-מנחם, משה.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נאמן ביתנו : על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רבינוביץ.  בספרו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10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בנתיב האור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מסות, רשימות ודברי-בקרת (תל אביב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יבנה, תשכ"ט 1969), עמ' 182־187.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11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בנארי, נחום.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ועולמו.  בספרו: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ערכי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רוח וספרות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על סופרים, ספרים ואישים (תל-אביב : מדור לספריות שע"י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מרכז לתרבות ולהסברה, ההסתדרות הכללית של העובדים העברים בארץ-ישראל,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תשי"ד), עמ' 197־199.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12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ברוידס, אברהם.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hyperlink r:id="rId13" w:tgtFrame="_blank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יעקב רבינוביץ, עליו השלום, במלאות 30 שנה</w:t>
        </w:r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/>
          </w:rPr>
          <w:t xml:space="preserve"> </w:t>
        </w:r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למותו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.  </w:t>
      </w:r>
      <w:hyperlink r:id="rId14" w:anchor="no1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מאזנים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כרך מ"ז, חוב' 1 (סיון תשל"ח, יוני 1978), עמ' 59־60.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15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וויינר, חיים.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 ז"ל.  בספרו: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/>
        </w:rPr>
        <w:t> 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פרקי חיים וספרות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/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ליקט וכינס זאב וויינר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(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ירושלים : קרית-ספר, תש"ך 1960), עמ' 177־179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נדפס לראשונה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ב"פאָרווערטס", 9 במאי 1948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16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חנני, יוסף.</w:t>
        </w:r>
      </w:hyperlink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שניים שאינם: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17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שלום שטרייט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-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רבינוביץ. 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18" w:anchor="no2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קטיף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ילקוט לדברי ספרות, הגות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ואמנות, כרך ב' (תשכ"ג), עמ' 238־243.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חנני, ישראל.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עיון בנושא הארץ-ישראלי בסיפורי יעקב רבינוביץ. 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19" w:anchor="no8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קטיף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ילקוט לדברי ספרות, הגות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ואמנות, כרך ח' (תשל"א 1971), עמ' 137־152.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0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טלפיר, גבריאל.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ז"ל. 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cs-CZ" w:bidi="he-IL"/>
        </w:rPr>
        <w:t>גזית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כרך י, גל' ג-ד (כסלו-טבת תש"ח, דצמבר 1947-ינואר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1948),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עמ' 48־50.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1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לנדר, פנחס.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י. רבינוביץ - 15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שנים למותו. 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cs-CZ" w:bidi="he-IL"/>
        </w:rPr>
        <w:t>הארץ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תרבות וספרות, י"א בניסן תשכ"ג, 5 באפריל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1963,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עמ' 10.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2" w:history="1">
        <w:r w:rsidRPr="00DE5E06">
          <w:rPr>
            <w:rFonts w:ascii="Times New Roman" w:eastAsia="Times New Roman" w:hAnsi="Times New Roman" w:cs="Times New Roman" w:hint="cs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סדן, דב.</w:t>
        </w:r>
      </w:hyperlink>
      <w:r w:rsidRPr="00DE5E06">
        <w:rPr>
          <w:rFonts w:ascii="Times New Roman" w:eastAsia="Times New Roman" w:hAnsi="Times New Roman" w:cs="Times New Roman" w:hint="cs"/>
          <w:sz w:val="20"/>
          <w:szCs w:val="20"/>
          <w:rtl/>
          <w:lang w:eastAsia="cs-CZ" w:bidi="he-IL"/>
        </w:rPr>
        <w:t xml:space="preserve">  סופר בשיחו.  </w:t>
      </w:r>
      <w:r w:rsidRPr="00DE5E06">
        <w:rPr>
          <w:rFonts w:ascii="Times New Roman" w:eastAsia="Times New Roman" w:hAnsi="Times New Roman" w:cs="Times New Roman" w:hint="cs"/>
          <w:sz w:val="20"/>
          <w:szCs w:val="20"/>
          <w:u w:val="single"/>
          <w:rtl/>
          <w:lang w:eastAsia="cs-CZ" w:bidi="he-IL"/>
        </w:rPr>
        <w:t>קטיף</w:t>
      </w:r>
      <w:r w:rsidRPr="00DE5E06">
        <w:rPr>
          <w:rFonts w:ascii="Times New Roman" w:eastAsia="Times New Roman" w:hAnsi="Times New Roman" w:cs="Times New Roman" w:hint="cs"/>
          <w:sz w:val="20"/>
          <w:szCs w:val="20"/>
          <w:rtl/>
          <w:lang w:eastAsia="cs-CZ" w:bidi="he-IL"/>
        </w:rPr>
        <w:t xml:space="preserve">, כרך א (תשי"ד), עמ' 146־150 &lt;חזר ונדפס בספרו </w:t>
      </w:r>
      <w:hyperlink r:id="rId23" w:history="1">
        <w:r w:rsidRPr="00DE5E06">
          <w:rPr>
            <w:rFonts w:ascii="Times New Roman" w:eastAsia="Times New Roman" w:hAnsi="Times New Roman" w:cs="Times New Roman" w:hint="cs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אבני גדר</w:t>
        </w:r>
      </w:hyperlink>
      <w:r w:rsidRPr="00DE5E06">
        <w:rPr>
          <w:rFonts w:ascii="Times New Roman" w:eastAsia="Times New Roman" w:hAnsi="Times New Roman" w:cs="Times New Roman" w:hint="cs"/>
          <w:sz w:val="20"/>
          <w:szCs w:val="20"/>
          <w:rtl/>
          <w:lang w:eastAsia="cs-CZ" w:bidi="he-IL"/>
        </w:rPr>
        <w:t xml:space="preserve"> : על סופרים וספרים (רמת-גן : הוצאת אגודת הסופרים העברים בישראל ליד הוצאת מסדה, 1970), עמ' 199־202&gt;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4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עבר הדני.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hyperlink r:id="rId25" w:tgtFrame="_blank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יעקב רבינוביץ ז"ל –</w:t>
        </w:r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/>
          </w:rPr>
          <w:t xml:space="preserve"> </w:t>
        </w:r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סופר העליה השניה.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cs-CZ" w:bidi="he-IL"/>
        </w:rPr>
        <w:t>הארץ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תרבות וספרות, כ"ט בכסלו תשט"ו,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24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 xml:space="preserve"> בדצמבר 1954, עמ' 9.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6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עובדיהו, מרדכי.</w:t>
        </w:r>
      </w:hyperlink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/>
        </w:rPr>
        <w:t xml:space="preserve"> 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המהלך בשבילים 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יעקב רבינוביץ.  בספרו: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27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נדבכים: עם סופרי דורי</w:t>
        </w:r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/>
          </w:rPr>
          <w:t xml:space="preserve"> 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מסות ורישומים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(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תל אביב : הוצאת אל"ף, תשל"ו 1975), עמ' 108</w:t>
      </w:r>
      <w:r w:rsidRPr="00DE5E06">
        <w:rPr>
          <w:rFonts w:ascii="Arial Unicode MS" w:eastAsia="Times New Roman" w:hAnsi="Arial Unicode MS" w:cs="Times New Roman"/>
          <w:sz w:val="20"/>
          <w:szCs w:val="20"/>
          <w:rtl/>
          <w:lang w:eastAsia="cs-CZ" w:bidi="he-IL"/>
        </w:rPr>
        <w:t>־110.</w:t>
      </w:r>
    </w:p>
    <w:p w:rsidR="00DE5E06" w:rsidRPr="00DE5E06" w:rsidRDefault="00DE5E06" w:rsidP="00DE5E06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שפירא, שמואל.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המשורר והמבקר רבי יעקב רבינוביץ ז"ל : ליום השנה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למותו.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בספרו: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 w:bidi="he-IL"/>
        </w:rPr>
        <w:t>אשר לאורם הלכתי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(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תל-אביב : הוצאת ידידי העליה השניה, תשכ"ו), עמ' 194־197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נדפס לראשונה ב"בצרון",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אייר תש"ט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DE5E06" w:rsidRPr="00DE5E06" w:rsidRDefault="00DE5E06" w:rsidP="00DE5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color w:val="FF0000"/>
          <w:sz w:val="20"/>
          <w:szCs w:val="20"/>
          <w:rtl/>
          <w:lang w:eastAsia="cs-CZ" w:bidi="he-IL"/>
        </w:rPr>
        <w:t>על "נדודי עמשי השומר"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</w:p>
    <w:p w:rsidR="00DE5E06" w:rsidRPr="00DE5E06" w:rsidRDefault="00DE5E06" w:rsidP="00DE5E06">
      <w:pPr>
        <w:numPr>
          <w:ilvl w:val="0"/>
          <w:numId w:val="6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28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גוברין, נורית.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אגדה ומציאות ב"נדודי עמשי השומר" ליעקב רבינוביץ.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29" w:anchor="no9-10" w:history="1">
        <w:r w:rsidRPr="00DE5E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rtl/>
            <w:lang w:eastAsia="cs-CZ" w:bidi="he-IL"/>
          </w:rPr>
          <w:t>בקורת ופרשנות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חוב' 9־10 (תשרי תשל"ז, אוקטובר 1976), עמ'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47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־91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 w:hint="cs"/>
          <w:sz w:val="20"/>
          <w:szCs w:val="20"/>
          <w:rtl/>
          <w:lang w:eastAsia="cs-CZ" w:bidi="he-IL"/>
        </w:rPr>
        <w:t xml:space="preserve">חזר ונדפס בספרה </w:t>
      </w:r>
      <w:r w:rsidRPr="00DE5E0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cs-CZ" w:bidi="he-IL"/>
        </w:rPr>
        <w:t>מפתחות</w:t>
      </w:r>
      <w:r w:rsidRPr="00DE5E06">
        <w:rPr>
          <w:rFonts w:ascii="Times New Roman" w:eastAsia="Times New Roman" w:hAnsi="Times New Roman" w:cs="Times New Roman" w:hint="cs"/>
          <w:sz w:val="20"/>
          <w:szCs w:val="20"/>
          <w:rtl/>
          <w:lang w:eastAsia="cs-CZ" w:bidi="he-IL"/>
        </w:rPr>
        <w:t xml:space="preserve"> (תל אביב : אוניברסיטת תל-אביב : הקיבוץ המאוחד, תשל"ח 1978), עמ' 20־49&gt;</w:t>
      </w:r>
    </w:p>
    <w:p w:rsidR="00DE5E06" w:rsidRPr="00DE5E06" w:rsidRDefault="00DE5E06" w:rsidP="00DE5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r w:rsidRPr="00DE5E06">
        <w:rPr>
          <w:rFonts w:ascii="Times New Roman" w:eastAsia="Times New Roman" w:hAnsi="Times New Roman" w:cs="Times New Roman"/>
          <w:color w:val="FF0000"/>
          <w:sz w:val="20"/>
          <w:szCs w:val="20"/>
          <w:rtl/>
          <w:lang w:eastAsia="cs-CZ" w:bidi="he-IL"/>
        </w:rPr>
        <w:t>על "ירושלים" לסלמה לגרלף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</w:p>
    <w:p w:rsidR="00DE5E06" w:rsidRPr="00DE5E06" w:rsidRDefault="00DE5E06" w:rsidP="00DE5E06">
      <w:pPr>
        <w:numPr>
          <w:ilvl w:val="0"/>
          <w:numId w:val="7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</w:pPr>
      <w:hyperlink r:id="rId30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בר-יוסף, חמוטל.</w:t>
        </w:r>
      </w:hyperlink>
      <w:r w:rsidRPr="00DE5E0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 </w:t>
      </w:r>
      <w:r w:rsidRPr="00DE5E06">
        <w:rPr>
          <w:rFonts w:ascii="Times New Roman" w:eastAsia="Times New Roman" w:hAnsi="Times New Roman" w:cs="Times New Roman"/>
          <w:i/>
          <w:iCs/>
          <w:sz w:val="20"/>
          <w:szCs w:val="20"/>
          <w:rtl/>
          <w:lang w:eastAsia="cs-CZ" w:bidi="he-IL"/>
        </w:rPr>
        <w:t>ירושלים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של סלמה לגרלף בתרגום יעקב רבינוביץ.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cs-CZ" w:bidi="he-IL"/>
        </w:rPr>
        <w:t>ידיעות אחרונות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,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תרבות, ספרות ואמנות, ח' בסיון תש"ם, 23 במאי 1980,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עמ' 21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&lt;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חזר ונדפס בספרה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</w:t>
      </w:r>
      <w:hyperlink r:id="rId31" w:history="1">
        <w:r w:rsidRPr="00DE5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rtl/>
            <w:lang w:eastAsia="cs-CZ" w:bidi="he-IL"/>
          </w:rPr>
          <w:t>טעמי הקריאה</w:t>
        </w:r>
      </w:hyperlink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: 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רשימות ביקורת ספרותית (מבשרת ציון : צבעונים, הוצאה לאור, 2006), עמ'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 xml:space="preserve"> 332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 w:bidi="he-IL"/>
        </w:rPr>
        <w:t>־334</w:t>
      </w:r>
      <w:r w:rsidRPr="00DE5E06">
        <w:rPr>
          <w:rFonts w:ascii="Times New Roman" w:eastAsia="Times New Roman" w:hAnsi="Times New Roman" w:cs="Times New Roman"/>
          <w:sz w:val="20"/>
          <w:szCs w:val="20"/>
          <w:rtl/>
          <w:lang w:eastAsia="cs-CZ"/>
        </w:rPr>
        <w:t>&gt;</w:t>
      </w:r>
    </w:p>
    <w:p w:rsidR="007F24FC" w:rsidRDefault="00DE5E06" w:rsidP="00DE5E06">
      <w:pPr>
        <w:jc w:val="right"/>
      </w:pPr>
      <w:bookmarkStart w:id="3" w:name="links"/>
      <w:r w:rsidRPr="00DE5E06">
        <w:rPr>
          <w:rFonts w:ascii="Times New Roman" w:eastAsia="Times New Roman" w:hAnsi="Times New Roman" w:cs="Times New Roman"/>
          <w:color w:val="0000FF"/>
          <w:sz w:val="27"/>
          <w:szCs w:val="27"/>
          <w:rtl/>
          <w:lang w:eastAsia="cs-CZ" w:bidi="he-IL"/>
        </w:rPr>
        <w:t>קישורים:</w:t>
      </w:r>
      <w:bookmarkEnd w:id="3"/>
      <w:bookmarkEnd w:id="0"/>
    </w:p>
    <w:sectPr w:rsidR="007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B24"/>
    <w:multiLevelType w:val="multilevel"/>
    <w:tmpl w:val="DC58D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06715B"/>
    <w:multiLevelType w:val="multilevel"/>
    <w:tmpl w:val="E9C82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AC2BF0"/>
    <w:multiLevelType w:val="multilevel"/>
    <w:tmpl w:val="C5F24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A92906"/>
    <w:multiLevelType w:val="multilevel"/>
    <w:tmpl w:val="2B2A5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154467"/>
    <w:multiLevelType w:val="multilevel"/>
    <w:tmpl w:val="E53CF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406943"/>
    <w:multiLevelType w:val="multilevel"/>
    <w:tmpl w:val="0128B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ED5134D"/>
    <w:multiLevelType w:val="multilevel"/>
    <w:tmpl w:val="65B65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39"/>
    <w:rsid w:val="00150D2C"/>
    <w:rsid w:val="00202BEF"/>
    <w:rsid w:val="002B5239"/>
    <w:rsid w:val="003241E9"/>
    <w:rsid w:val="00355D22"/>
    <w:rsid w:val="00377827"/>
    <w:rsid w:val="004420BC"/>
    <w:rsid w:val="00447D08"/>
    <w:rsid w:val="005464C4"/>
    <w:rsid w:val="00720260"/>
    <w:rsid w:val="007B5B83"/>
    <w:rsid w:val="007F24FC"/>
    <w:rsid w:val="00803C7D"/>
    <w:rsid w:val="008C6306"/>
    <w:rsid w:val="00935FCF"/>
    <w:rsid w:val="00A1595B"/>
    <w:rsid w:val="00A53749"/>
    <w:rsid w:val="00AE0FC4"/>
    <w:rsid w:val="00B57B08"/>
    <w:rsid w:val="00C55DF1"/>
    <w:rsid w:val="00C87801"/>
    <w:rsid w:val="00D1166B"/>
    <w:rsid w:val="00DE5E06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5990-A473-438D-964B-0E3FF23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">
    <w:name w:val="margin"/>
    <w:basedOn w:val="Normln"/>
    <w:rsid w:val="00D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osu.edu/projects/hebrew-lexicon/01061.php" TargetMode="External"/><Relationship Id="rId13" Type="http://schemas.openxmlformats.org/officeDocument/2006/relationships/hyperlink" Target="http://www.jstor.org/stable/23877445" TargetMode="External"/><Relationship Id="rId18" Type="http://schemas.openxmlformats.org/officeDocument/2006/relationships/hyperlink" Target="https://library.osu.edu/projects/hebrew-lexicon/99995032.php" TargetMode="External"/><Relationship Id="rId26" Type="http://schemas.openxmlformats.org/officeDocument/2006/relationships/hyperlink" Target="https://library.osu.edu/projects/hebrew-lexicon/01810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osu.edu/projects/hebrew-lexicon/01332.php" TargetMode="External"/><Relationship Id="rId7" Type="http://schemas.openxmlformats.org/officeDocument/2006/relationships/hyperlink" Target="https://library.osu.edu/projects/hebrew-lexicon/01692.php" TargetMode="External"/><Relationship Id="rId12" Type="http://schemas.openxmlformats.org/officeDocument/2006/relationships/hyperlink" Target="https://library.osu.edu/projects/hebrew-lexicon/01063.php" TargetMode="External"/><Relationship Id="rId17" Type="http://schemas.openxmlformats.org/officeDocument/2006/relationships/hyperlink" Target="https://library.osu.edu/projects/hebrew-lexicon/00201.php" TargetMode="External"/><Relationship Id="rId25" Type="http://schemas.openxmlformats.org/officeDocument/2006/relationships/hyperlink" Target="https://library.osu.edu/projects/hebrew-lexicon/01139-files/0113920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osu.edu/projects/hebrew-lexicon/01430.php" TargetMode="External"/><Relationship Id="rId20" Type="http://schemas.openxmlformats.org/officeDocument/2006/relationships/hyperlink" Target="https://library.osu.edu/projects/hebrew-lexicon/01368.php" TargetMode="External"/><Relationship Id="rId29" Type="http://schemas.openxmlformats.org/officeDocument/2006/relationships/hyperlink" Target="https://library.osu.edu/projects/hebrew-lexicon/99995022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&#1497;&#1506;&#1511;&#1489;_&#1512;&#1489;&#1497;&#1504;&#1493;&#1489;&#1497;&#1509;" TargetMode="External"/><Relationship Id="rId11" Type="http://schemas.openxmlformats.org/officeDocument/2006/relationships/hyperlink" Target="https://library.osu.edu/projects/hebrew-lexicon/01388.php" TargetMode="External"/><Relationship Id="rId24" Type="http://schemas.openxmlformats.org/officeDocument/2006/relationships/hyperlink" Target="https://library.osu.edu/projects/hebrew-lexicon/01369.php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ibrary.osu.edu/projects/hebrew-lexicon/00019.php" TargetMode="External"/><Relationship Id="rId23" Type="http://schemas.openxmlformats.org/officeDocument/2006/relationships/hyperlink" Target="https://library.osu.edu/projects/hebrew-lexicon/00376002.php" TargetMode="External"/><Relationship Id="rId28" Type="http://schemas.openxmlformats.org/officeDocument/2006/relationships/hyperlink" Target="https://library.osu.edu/projects/hebrew-lexicon/00731.php" TargetMode="External"/><Relationship Id="rId10" Type="http://schemas.openxmlformats.org/officeDocument/2006/relationships/hyperlink" Target="https://library.osu.edu/projects/hebrew-lexicon/02451001.php" TargetMode="External"/><Relationship Id="rId19" Type="http://schemas.openxmlformats.org/officeDocument/2006/relationships/hyperlink" Target="https://library.osu.edu/projects/hebrew-lexicon/99995032.php" TargetMode="External"/><Relationship Id="rId31" Type="http://schemas.openxmlformats.org/officeDocument/2006/relationships/hyperlink" Target="https://library.osu.edu/projects/hebrew-lexicon/004210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osu.edu/projects/hebrew-lexicon/02451.php" TargetMode="External"/><Relationship Id="rId14" Type="http://schemas.openxmlformats.org/officeDocument/2006/relationships/hyperlink" Target="https://library.osu.edu/projects/hebrew-lexicon/99995020-47.php" TargetMode="External"/><Relationship Id="rId22" Type="http://schemas.openxmlformats.org/officeDocument/2006/relationships/hyperlink" Target="https://library.osu.edu/projects/hebrew-lexicon/00376.php" TargetMode="External"/><Relationship Id="rId27" Type="http://schemas.openxmlformats.org/officeDocument/2006/relationships/hyperlink" Target="https://library.osu.edu/projects/hebrew-lexicon/01810001.php" TargetMode="External"/><Relationship Id="rId30" Type="http://schemas.openxmlformats.org/officeDocument/2006/relationships/hyperlink" Target="https://library.osu.edu/projects/hebrew-lexicon/00421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Bousek, Daniel</dc:creator>
  <cp:keywords/>
  <dc:description/>
  <cp:lastModifiedBy>Bousek, Daniel</cp:lastModifiedBy>
  <cp:revision>2</cp:revision>
  <dcterms:created xsi:type="dcterms:W3CDTF">2020-04-19T08:51:00Z</dcterms:created>
  <dcterms:modified xsi:type="dcterms:W3CDTF">2020-04-19T08:51:00Z</dcterms:modified>
</cp:coreProperties>
</file>