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2200"/>
      </w:tblGrid>
      <w:tr w:rsidR="00744204" w:rsidRPr="00744204" w:rsidTr="00744204">
        <w:trPr>
          <w:trHeight w:val="750"/>
          <w:tblCellSpacing w:w="0" w:type="dxa"/>
        </w:trPr>
        <w:tc>
          <w:tcPr>
            <w:tcW w:w="0" w:type="auto"/>
            <w:hideMark/>
          </w:tcPr>
          <w:p w:rsidR="00744204" w:rsidRPr="00744204" w:rsidRDefault="00744204" w:rsidP="0074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0" w:type="dxa"/>
            <w:shd w:val="clear" w:color="auto" w:fill="7AFF95"/>
            <w:hideMark/>
          </w:tcPr>
          <w:p w:rsidR="00744204" w:rsidRPr="00744204" w:rsidRDefault="00744204" w:rsidP="0074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397000" cy="1397000"/>
                  <wp:effectExtent l="0" t="0" r="0" b="0"/>
                  <wp:docPr id="1" name="Obrázek 1" descr="לקסיקון הספרות העברית. לוגו באדיבות תמיר להב-רדלמסר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לקסיקון הספרות העברית. לוגו באדיבות תמיר להב-רדלמסר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204" w:rsidRPr="00744204" w:rsidRDefault="00744204" w:rsidP="0074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44204" w:rsidRPr="00744204" w:rsidTr="00744204">
        <w:trPr>
          <w:tblCellSpacing w:w="0" w:type="dxa"/>
        </w:trPr>
        <w:tc>
          <w:tcPr>
            <w:tcW w:w="42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4"/>
              <w:gridCol w:w="856"/>
              <w:gridCol w:w="2342"/>
            </w:tblGrid>
            <w:tr w:rsidR="00744204" w:rsidRPr="007442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204" w:rsidRPr="00744204" w:rsidRDefault="00744204" w:rsidP="0074420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44204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rtl/>
                      <w:lang w:eastAsia="cs-CZ" w:bidi="he-IL"/>
                    </w:rPr>
                    <w:t>דבורה בארון</w:t>
                  </w:r>
                  <w:r w:rsidRPr="00744204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rtl/>
                      <w:lang w:eastAsia="cs-CZ"/>
                    </w:rPr>
                    <w:t xml:space="preserve"> </w:t>
                  </w:r>
                  <w:r w:rsidRPr="00744204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cs-CZ"/>
                    </w:rPr>
                    <w:t>(1887</w:t>
                  </w:r>
                  <w:r w:rsidRPr="00744204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rtl/>
                      <w:lang w:eastAsia="cs-CZ" w:bidi="he-IL"/>
                    </w:rPr>
                    <w:t>־1956</w:t>
                  </w:r>
                  <w:r w:rsidRPr="00744204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204" w:rsidRPr="00744204" w:rsidRDefault="00744204" w:rsidP="0074420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4420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cs-CZ"/>
                    </w:rPr>
                    <w:t>&lt;</w:t>
                  </w:r>
                  <w:r w:rsidRPr="0074420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rtl/>
                      <w:lang w:eastAsia="cs-CZ" w:bidi="he-IL"/>
                    </w:rPr>
                    <w:t>בהכנה</w:t>
                  </w:r>
                  <w:r w:rsidRPr="0074420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cs-CZ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204" w:rsidRPr="00744204" w:rsidRDefault="00744204" w:rsidP="0074420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44204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cs-CZ"/>
                    </w:rPr>
                    <w:t>Dvora Baron</w:t>
                  </w:r>
                </w:p>
              </w:tc>
            </w:tr>
          </w:tbl>
          <w:p w:rsidR="00744204" w:rsidRPr="00744204" w:rsidRDefault="00744204" w:rsidP="00744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3162300"/>
                  <wp:effectExtent l="0" t="0" r="0" b="0"/>
                  <wp:wrapSquare wrapText="bothSides"/>
                  <wp:docPr id="2" name="Obrázek 2" descr="https://library.osu.edu/projects/hebrew-lexicon/02044-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brary.osu.edu/projects/hebrew-lexicon/02044-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דבורה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בארון נולדה בעיירה אוזדה שליד מינסק, בבלארוס. מגיל צעיר בלטה בכשרון כתיבה, ובגיל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פרסמה סיפורים שיצרו לה קהל מעריצים. יוסף חיים ברנר כתב לה: "יודעת את לכתוב, אחותי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אביה היה רב, ושלא כמקובל הוא לא נמנע מלתת גם לבתו השכלה תורנית. יחד עם אחיה בנימין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סטודנט לרפואה, שעימו היה לה קשר הדוק יצאה למינסק. אירוסיה עם הסופר משה בן אליעזר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הסתיימו לאחר חמש שנים, ובארון עלתה ארצה ב-1910. היא התחתנה עם עורך עיתון "הפועל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הצעיר", יוסף אהרונוביץ', ונולדה להם בת, ציפורה. ב-1915 גורשו למצרים בשל גזירותיו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של ג'מאל פאשה, והדבר חולל שבר בחיי הסופרת. היא התמסרה לטיפול בילדתה ומיעטה לצאת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מן הבית, מסתירה את מחלת האפילפסיה שבה הילדה לוקה. ב-1919 מששבו לתל אביב, עם תום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מלחמת העולם הראשונה, שמעה שאחיה האהוב נדבק בטיפוס ומת ממחלתו, דבר זה זעזע אותה קשות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כמה שנים אחר כך הסתגרה בביתה ולא יצאה משם עוד, אפילו לא הלכה ב-1937 להלוויתו של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בעלה, שהיה בשנים האחרונות לחייו מנהלו הראשון של בנק הפועלים. בביתה קיבלה אורחים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כמו אשר ברש ונחום גוטמן כשהיא שוכבת במיטה, ועדיין הייתה מעורה בחיים הציבוריים. באותו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זמן עסקה במרץ בכתיבה ובתרגום וגם קיבלה תמיכה מהבנק. השואה נטעה בה תחושת שליחות בכתיבתה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על חיי היהודים בעיירה: "הרי שאני רואה את עצמי כמין זכוכית נגטיבית שנשארה רק היא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היחידה לאחר שאבד העצם המצולם. כלום לא שומה עליי, למען הקים להם לדברים זכר, להטביע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 xml:space="preserve">את רישומיי על הנייר". המחלה שבשלה לא יצאה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lastRenderedPageBreak/>
              <w:t>דבורה בארון את ביתה אינה ברורה אך ככל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הנראה מדובר בדיכאון קליני. הפסיכולוגית וחוקרת הספרות פרופ' עמיה ליבליך סבורה שבארון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ובתה פיתחו יחד "שיגעון בשניים", עולם לא מציאותי של הזיה משותפת. ציפורה, בתה של בארון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גדלה נטולת קשרים חברתיים כשאימה מהווה לה את חברתה היחידה בעולם. בשנים שאחרי פטירתה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היא עברה להתגורר בחדר על גג. שם נמצאה מתה ב-1971, כמה ימים אחרי שמעדה ונפלה בו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   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דבורה בארון נולדה בי"ח בכסלו תרמ"ח, 4 בדצמבר 1887 בעיירה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באוּזדה, פלך מינסק שברוסיה הלבנה. בת שלישית במשפחה של ארבעה ילדים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מאביה, רב העיר שניהל חדר, קיבלה חינוך יהודי כבֵן ממקומה בעזרת הנשים. היא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היתה עדה לבעיות שהובאו לפני האב-הרב בנושאים שבינו לבינה ובכל ענייני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החיים. הווי זה הותיר בה את רישומו העז וניכר היטב ביצירתה, לרבות דמותו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הנערצת של האב-הרב, מנקודת המבט של הילדה המספרת. בגיל חמש-עשרה עזבה את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בית ההורים ונסעה ללמוד במינסק, שם שהה אחיה. היא פירנסה את עצמה מהוראה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כמורת בית, והיה זה צעד נועז ובלתי שגרתי באותן שנים לנערה יהודייה, בתו של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רב. שהתה לסירוגין בערים מאריאמפול וקובנה, שם היתה פעילה כמדריכת נוער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ציוני. נמנתה עם חבורת סופרי עברית ויידיש בווילנה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סיפורה הראשון היה "משׂיחות במרכבה" (המליץ, 1902). אירוסיה בשנים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1904-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oftHyphen/>
              <w:t xml:space="preserve">1909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לסופר משה בן אליעזר הסתיימו בפרֵדה. בתקופה הראשונה ליצירתה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(1902-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oftHyphen/>
              <w:t xml:space="preserve">1920)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פירסמה כארבעים וחמישה סיפורים, כולל סיפורים ביידיש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ותרגומים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עם עלייתה לארץ (1910) התיישבה בנווה צדק, נעשתה לעורכת מדור הספרות בהפועל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הצעיר ונישאה ליוסף אהרונוביץ, ממנהיגי המפלגה ועורך ביטאונה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(1911).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בראשית 1914 נולדה בתם צפורה. בימי מלחמת העולם הראשונה, במאי 1915, הוגלתה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המשפחה על ידי הטורקים לאלכסנדריה שבמצרים, וחזרה לארץ לאחר ארבע שנות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גלות. באותה עת מת ברוסיה מטיפוס אחיה, הרופא הנערץ, שעליו התאבלה כל חייה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על רקע הישיבה במצרים והשיבה לארץ נכתבו הסיפורים "לעת עתה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 (1946)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ו"מאמש" (1955), שחוברו יחד לספר הגולים (1970). בדצמבר 1922 התפטרו בני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הזוג מעריכת הפועל הצעיר. דבורה בארון הסתגרה בביתה עד סוף ימיה, שמרה על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אורח חיים נזירי ותפריט ייחודי, עסקה בכתיבת סיפוריה, כשהבת, צפורה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אהרונוביץ, משרתת אותה בהערצה, במיוחד בשנות מחלתה הממושכת. ידידיה הסופרים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הגיעו לביתה ובעזרתם היתה בקיאה ומעורבת בנעשה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מספרה הראשון, סיפורים, שהופיע לראשונה רק ב-1927 (דבר), נעדרו עשרות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סיפוריה הראשונים, שכונסו על ידי נורית גוברין בספר פרשיות מוקדמות, לצד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הביוגרפיה שלה (1988). ב-1932 הופיע תרגומה מצרפתית למאדאם בובארי של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פלובר. לאחר פטירת בעלה יוסף אהרונוביץ (1937) ערכה עם אליעזר שוחט את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כתביו (1941). סיפוריה המקובצים המשיכו להופיע לאורך השנים, כשהם כוללים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סיפורים ישנים וחדשים ופרקים מתוך סיפורים: מה שהיה (1939); לעת עתה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(1943);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משם (1946); הַלַּבָּן (1947); שברירים (1949). פרשיות (1951) הוא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הכינוס המקיף ביותר של סיפוריה והופיע במהדורות רבות. אחריו חוליות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(1953)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ומאמש (1955). אגב אורחא (1961) נערך בידי בתה בחתימה "שבתאית", וכלל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סיפורים מקוריים ומתורגמים, אמרות, מכתבים ורשימות זיכרון מתוך העיזבון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קיבלה את פרס ביאליק בחלוקה הראשונה שלו (1933) ואת פרס רופין של עיריית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חיפה (1945). כמה מסיפוריה תורגמו לאנגלית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דבורה בארון היא הסופרת העברית הראשונה שהיתה שוות ערך לחבריה הסופרים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הגברים. היא המבשרת של ספרות הנשים העברית. עוד לפני עלייתה לארץ חזתה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מבשרה את המחיר הכבד של היותה אישה-סופרת, בד בבד עם ההערצה שהיתה מנת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חלקה. כבר בסיפוריה הראשונים ביטאה את רגישותה הרבה לחלשים ולסובלים. מקום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מיוחד תופשות הנשים המקופחות, העקרות, הבלתי-אהובות והמגורשות. בסיפוריה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הראשונים נתנה ביטוי על דרך הזעקה הישירה לקיפוח ולסבל, למתח המיני בתוך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המשפחה ולעלבון. לימים גנזה אותם, הסתייגה מהם והכריזה עליהם כ"סמרטוטים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lastRenderedPageBreak/>
              <w:t>נושאים אלה נמשכו גם בסיפוריה המאוחרים, שבהם החליפה את הפואטיקה הישירה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שגבלה בסנטימנטליות ובמלודרמטיות, בפואטיקה של איפוק, כיסוי, רמיזה, צעקה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בלומה, מבלי לוותר על הביקורת על העולם המתנהל שלא כהלכה. היא ראתה את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המתרחש בעולם כתהליך מחזורי בעל חוקיות קבועה המתחדש תמיד. זוהי מחזוריות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של לידה ומוות, בנייה והרס, גלות וגאולה, כדוגמת המחזוריות בטבע עצמו. הפרט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ממשיך את מעשי אבותיו, ומה שקורה לציבור הוא גלגולם של מאורעות שהתרחשו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בעבר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בארץ ישראל של ימי העלייה השנייה ואחריהם, בלבה של הפעילות החברתית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והתרבותית, המשיכה לספר את סיפורי העיירה היהודית, יחד עם סיפורי התלושים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בערי רוסיה הלבנה וליטא. היו דרושים אומץ לב ועצמאות יתרה כדי שלא להיענות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לתביעה החברתית לזנוח את הגולה ולכתוב סיפורים מן ההווי הארץ-ישראלי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המתחדש. היא הפכה את העיירה היהודית למרכז העולם, וראתה את עצמה כמשַמרת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העולם שהיה ואבד: "כמין זכוכית נגטיבית, שנשארה רק היא היחידה לאחר שאבד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העצם המצולם", ולכן חובה עליה "להקים לַדברים זֵכר" (מה שהיה, 1939)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במקביל שתלה חומרי מציאות ארץ-ישראליים בליטא, ונענתה לדופק הזמן בדרך של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הרחקת עדות. כך, למשל, בסיפור "פראדל" (1947), שהרקע שלו הוא סוף המאה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התשע-עשרה בעיירה היהודית בליטא, נרמזו, תחת הסוואה כבדה, אפשרויות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תיקון-החיים הפרטי והקולקטיבי לאחר השואה ועם מלחמת העצמאות. דמותה שימשה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מקור השראה למשוררים (משה בן שאול) ולסופרים (עמיה ליבליך, נורית זרחי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יהודית קציר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).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גוברין, נורית. המחצית הראשונה, דבורה בארון – חייה ויצירתה תרמ"ח-תרפ"ג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ירושלים: מוסד ביאליק. 1988; לובין, אורלי. "הגולים: הפה האוכל והפה המדבר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כייצוגים לאומיים". אשה קוראת אשה. חיפה ואור יהודה: אוניברסיטת חיפה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וזמורה-ביתן. 2003. 116-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softHyphen/>
              <w:t>159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פגיס, עדה (עורכת). דבורה בארון, מבחר מאמרי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ביקורת על יצירתה. תל אביב: עם עובד. 1974; פיינגולד, בן עמי. "דבורה בארון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כסופרת פמיניסטית". סדן ד'. 2000. 323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softHyphen/>
              <w:t>-351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Jelen, Sheila E. &amp;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Shachar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Pinsker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Editors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).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Hebrew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Gender, and Modernity: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Critical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Responses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Dvora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Baron`s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Fiction.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Bethesda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University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Maryland. 2007.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נורית גוברין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[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מקורות: קרסל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hyperlink r:id="rId8" w:tgtFrame="_blank" w:history="1"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לקסיקון הקשרים לסופרים ישראלים</w:t>
              </w:r>
            </w:hyperlink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hyperlink r:id="rId9" w:tgtFrame="_blank" w:history="1"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rtl/>
                  <w:lang w:eastAsia="cs-CZ" w:bidi="he-IL"/>
                </w:rPr>
                <w:t>ויקיפדיה</w:t>
              </w:r>
            </w:hyperlink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hyperlink r:id="rId10" w:tgtFrame="_blank" w:history="1">
              <w:proofErr w:type="spellStart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Jewish</w:t>
              </w:r>
              <w:proofErr w:type="spellEnd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Women's</w:t>
              </w:r>
              <w:proofErr w:type="spellEnd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Archive</w:t>
              </w:r>
            </w:hyperlink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hyperlink r:id="rId11" w:tgtFrame="_blank" w:history="1"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ITHL</w:t>
              </w:r>
            </w:hyperlink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hyperlink r:id="rId12" w:tgtFrame="_blank" w:history="1">
              <w:proofErr w:type="spellStart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Электронная</w:t>
              </w:r>
              <w:proofErr w:type="spellEnd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еврейская</w:t>
              </w:r>
              <w:proofErr w:type="spellEnd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энциклопедия</w:t>
              </w:r>
              <w:proofErr w:type="spellEnd"/>
            </w:hyperlink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]</w:t>
            </w:r>
          </w:p>
          <w:p w:rsidR="00744204" w:rsidRPr="00744204" w:rsidRDefault="00744204" w:rsidP="0074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Books"/>
            <w:r w:rsidRPr="00744204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rtl/>
                <w:lang w:eastAsia="cs-CZ" w:bidi="he-IL"/>
              </w:rPr>
              <w:t>ספריה</w:t>
            </w:r>
            <w:r w:rsidRPr="00744204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:</w:t>
            </w:r>
            <w:bookmarkEnd w:id="0"/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ספורים (תל-אביב : דבר, תרפ"ז)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התוכן: בראשית – היום הראשון– מצולה – חלומות – שפרה – שומן – גרעינים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– 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קצו של סנדר זיו – עגמת נפש – הניך – על יד החלון – חתונה – נכדים – גניזה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תורכים – בימות סתו – עגונה – בר-אוז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קטנות (תל-אביב : אמנות, 1933)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התוכן: רשע – משפחה – קטנות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מה שהיה (תל-אביב : דבר, תרצ"ט 1939)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התוכן: בראשית – גניזה – היום הראשון – קטנות – חלומות – משפחה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– 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רשע – מצולה – בר-אוז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לעת עתה : סיפורים (תל-אביב : עם עובד, תש"ג 1943)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התוכן: דרך קוצים -- כריתות -- לעת עתה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משם (תל-אביב : עם עובד : ספרית שחרות, תש"ו)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הֵלֵּבָּן (תל-אביב : עם עובד, תש"ז)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cs-CZ" w:bidi="he-IL"/>
              </w:rPr>
              <w:t>התוכן: פראדל -- הֵלֵּבָּן</w:t>
            </w:r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&gt;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שברירים : סיפורים (תל-אביב : עם עובד, תש"ט)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פרשיות : סיפורים מקובצים (ירושלים : מוסד ביאליק, תשי"א 1951)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חוליות (תל-אביב : עם עובד, תשי"ג)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מאמש (תל-אביב : עם עובד, תשט"ו)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lastRenderedPageBreak/>
              <w:t>אגב אורחא (מרחביה : ספרית פועלים, תשכ"א)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ילקוט סיפורים / ליקטה והוסיפה מבוא והסברים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/>
              </w:rPr>
              <w:t xml:space="preserve"> </w:t>
            </w:r>
            <w:hyperlink r:id="rId13" w:history="1">
              <w:r w:rsidRPr="007442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eastAsia="cs-CZ" w:bidi="he-IL"/>
                </w:rPr>
                <w:t>רבקה</w:t>
              </w:r>
              <w:r w:rsidRPr="007442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eastAsia="cs-CZ"/>
                </w:rPr>
                <w:t xml:space="preserve"> </w:t>
              </w:r>
              <w:r w:rsidRPr="007442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eastAsia="cs-CZ" w:bidi="he-IL"/>
                </w:rPr>
                <w:t>גורפיין</w:t>
              </w:r>
            </w:hyperlink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תל אביב : הוצאת יחדיו ואגודת הסופרים העברים בישראל, תשכ"ט 1969</w:t>
            </w: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anchor="1" w:history="1">
              <w:proofErr w:type="spellStart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The</w:t>
              </w:r>
              <w:proofErr w:type="spellEnd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Thorny</w:t>
              </w:r>
              <w:proofErr w:type="spellEnd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7442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Path</w:t>
              </w:r>
              <w:proofErr w:type="spellEnd"/>
            </w:hyperlink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translated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from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Hebrew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by Joseph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Shachter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;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edited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Itzhak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Hanoch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Jerusalem : Institute</w:t>
            </w:r>
            <w:proofErr w:type="gram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Translation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Hebrew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Literature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and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Israel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Universities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Press</w:t>
            </w:r>
            <w:proofErr w:type="spellEnd"/>
            <w:r w:rsidRPr="0074420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1969)</w:t>
            </w:r>
          </w:p>
          <w:p w:rsidR="00744204" w:rsidRPr="00744204" w:rsidRDefault="00744204" w:rsidP="00744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42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cs-CZ" w:bidi="he-IL"/>
              </w:rPr>
              <w:t>הגולים (תל-אביב : עם עובד, תש"ל)</w:t>
            </w:r>
          </w:p>
        </w:tc>
        <w:tc>
          <w:tcPr>
            <w:tcW w:w="0" w:type="auto"/>
            <w:vAlign w:val="center"/>
            <w:hideMark/>
          </w:tcPr>
          <w:p w:rsidR="00744204" w:rsidRPr="00744204" w:rsidRDefault="00744204" w:rsidP="0074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1" w:name="_GoBack"/>
            <w:bookmarkEnd w:id="1"/>
          </w:p>
        </w:tc>
      </w:tr>
    </w:tbl>
    <w:p w:rsidR="007F24FC" w:rsidRDefault="007F24FC" w:rsidP="00744204">
      <w:pPr>
        <w:jc w:val="right"/>
      </w:pPr>
    </w:p>
    <w:sectPr w:rsidR="007F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77C"/>
    <w:multiLevelType w:val="multilevel"/>
    <w:tmpl w:val="B7B2B2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F2"/>
    <w:rsid w:val="00150D2C"/>
    <w:rsid w:val="00202BEF"/>
    <w:rsid w:val="003241E9"/>
    <w:rsid w:val="00355D22"/>
    <w:rsid w:val="00377827"/>
    <w:rsid w:val="004420BC"/>
    <w:rsid w:val="00447D08"/>
    <w:rsid w:val="005464C4"/>
    <w:rsid w:val="00720260"/>
    <w:rsid w:val="00744204"/>
    <w:rsid w:val="007B5B83"/>
    <w:rsid w:val="007F24FC"/>
    <w:rsid w:val="00803C7D"/>
    <w:rsid w:val="008C6306"/>
    <w:rsid w:val="00935FCF"/>
    <w:rsid w:val="00A1595B"/>
    <w:rsid w:val="00A53749"/>
    <w:rsid w:val="00AE0FC4"/>
    <w:rsid w:val="00B57B08"/>
    <w:rsid w:val="00C55DF1"/>
    <w:rsid w:val="00C87801"/>
    <w:rsid w:val="00D1166B"/>
    <w:rsid w:val="00D31EF2"/>
    <w:rsid w:val="00E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CBCEE-BBA9-4468-B73E-07C69AE1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42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4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">
    <w:name w:val="margin"/>
    <w:basedOn w:val="Normln"/>
    <w:rsid w:val="0074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.org.il/lexicon/&#1489;&#1488;&#1512;&#1493;&#1503;-&#1491;&#1489;&#1493;&#1512;&#1492;" TargetMode="External"/><Relationship Id="rId13" Type="http://schemas.openxmlformats.org/officeDocument/2006/relationships/hyperlink" Target="https://library.osu.edu/projects/hebrew-lexicon/01338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leven.co.il/article/104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thl.org.il/page_13506" TargetMode="External"/><Relationship Id="rId5" Type="http://schemas.openxmlformats.org/officeDocument/2006/relationships/hyperlink" Target="https://library.osu.edu/projects/hebrew-lexicon/index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jwa.org/encyclopedia/article/baron-devo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.wikipedia.org/wiki/&#1491;&#1489;&#1493;&#1512;&#1492;_&#1489;&#1488;&#1512;&#1493;&#1503;" TargetMode="External"/><Relationship Id="rId14" Type="http://schemas.openxmlformats.org/officeDocument/2006/relationships/hyperlink" Target="https://library.osu.edu/projects/hebrew-lexicon/02044k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Bousek, Daniel</dc:creator>
  <cp:keywords/>
  <dc:description/>
  <cp:lastModifiedBy>Bousek, Daniel</cp:lastModifiedBy>
  <cp:revision>2</cp:revision>
  <dcterms:created xsi:type="dcterms:W3CDTF">2020-04-19T08:45:00Z</dcterms:created>
  <dcterms:modified xsi:type="dcterms:W3CDTF">2020-04-19T08:49:00Z</dcterms:modified>
</cp:coreProperties>
</file>