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2200"/>
      </w:tblGrid>
      <w:tr w:rsidR="00640909" w:rsidRPr="00640909" w:rsidTr="00640909">
        <w:trPr>
          <w:trHeight w:val="750"/>
          <w:tblCellSpacing w:w="0" w:type="dxa"/>
        </w:trPr>
        <w:tc>
          <w:tcPr>
            <w:tcW w:w="0" w:type="auto"/>
            <w:hideMark/>
          </w:tcPr>
          <w:p w:rsidR="00640909" w:rsidRPr="00640909" w:rsidRDefault="00640909" w:rsidP="0064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</w:p>
        </w:tc>
        <w:tc>
          <w:tcPr>
            <w:tcW w:w="1470" w:type="dxa"/>
            <w:shd w:val="clear" w:color="auto" w:fill="7AFF95"/>
            <w:hideMark/>
          </w:tcPr>
          <w:p w:rsidR="00640909" w:rsidRPr="00640909" w:rsidRDefault="00640909" w:rsidP="0064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E91BAE3" wp14:editId="17BB7E9E">
                  <wp:extent cx="1397000" cy="1397000"/>
                  <wp:effectExtent l="0" t="0" r="0" b="0"/>
                  <wp:docPr id="1" name="Obrázek 1" descr="לקסיקון הספרות העברית. לוגו באדיבות תמיר להב-רדלמסר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לקסיקון הספרות העברית. לוגו באדיבות תמיר להב-רדלמסר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09" w:rsidRPr="00640909" w:rsidRDefault="00640909" w:rsidP="0064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40909" w:rsidRPr="00640909" w:rsidTr="00640909">
        <w:trPr>
          <w:tblCellSpacing w:w="0" w:type="dxa"/>
        </w:trPr>
        <w:tc>
          <w:tcPr>
            <w:tcW w:w="42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1"/>
              <w:gridCol w:w="764"/>
              <w:gridCol w:w="2537"/>
            </w:tblGrid>
            <w:tr w:rsidR="00640909" w:rsidRPr="006409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909" w:rsidRPr="00640909" w:rsidRDefault="00640909" w:rsidP="0064090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cs-CZ" w:bidi="he-IL"/>
                    </w:rPr>
                    <w:t>יעקב</w:t>
                  </w: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cs-CZ"/>
                    </w:rPr>
                    <w:t xml:space="preserve"> </w:t>
                  </w: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cs-CZ" w:bidi="he-IL"/>
                    </w:rPr>
                    <w:t>שטיינברג</w:t>
                  </w: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cs-CZ"/>
                    </w:rPr>
                    <w:t xml:space="preserve"> </w:t>
                  </w: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cs-CZ"/>
                    </w:rPr>
                    <w:t>(1887</w:t>
                  </w: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cs-CZ" w:bidi="he-IL"/>
                    </w:rPr>
                    <w:t>־1947</w:t>
                  </w: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09" w:rsidRPr="00640909" w:rsidRDefault="00640909" w:rsidP="0064090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cs-CZ"/>
                    </w:rPr>
                    <w:t>&lt;</w:t>
                  </w: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  <w:lang w:eastAsia="cs-CZ" w:bidi="he-IL"/>
                    </w:rPr>
                    <w:t>בהכנה</w:t>
                  </w:r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cs-CZ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09" w:rsidRPr="00640909" w:rsidRDefault="00640909" w:rsidP="0064090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cs-CZ"/>
                    </w:rPr>
                    <w:t>Jacob</w:t>
                  </w:r>
                  <w:proofErr w:type="spellEnd"/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Pr="00640909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cs-CZ"/>
                    </w:rPr>
                    <w:t>Steinberg</w:t>
                  </w:r>
                  <w:proofErr w:type="spellEnd"/>
                </w:p>
              </w:tc>
            </w:tr>
          </w:tbl>
          <w:p w:rsidR="00640909" w:rsidRPr="00640909" w:rsidRDefault="00640909" w:rsidP="0064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95250" distR="95250" simplePos="0" relativeHeight="251659264" behindDoc="0" locked="0" layoutInCell="1" allowOverlap="0" wp14:anchorId="0EF5394F" wp14:editId="70A4513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800350"/>
                  <wp:effectExtent l="0" t="0" r="0" b="0"/>
                  <wp:wrapSquare wrapText="bothSides"/>
                  <wp:docPr id="2" name="Obrázek 2" descr="https://library.osu.edu/projects/hebrew-lexicon/02052-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brary.osu.edu/projects/hebrew-lexicon/02052-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יעקב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שטיינברג נולד בבילאיה צרקוב ('שדה לבן', אוקראינה) בי"ב באלול תרמ"ז, 1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בספטמבר 1887 לאביו השוחט. למד בצעירותו ב'חדר' ובישיבה ורכש בכוחות עצמו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השכלה כללית. בגיל 14 עזב את בית אביו ועבר לאודסה. שם נתודע לביאליק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.,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שעודדו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בצעדיו הראשונים בספרות. ב-1903 עבר לוארשה, שם היה מבאי ביתו של י"ל פרץ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והרבה להשתתף בעיתונות העברית והיידית. לאחר שהות קצרה בקייב נסע ללמוד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באוניברסיטת ברן (שווייץ). עם שובו לוארשה הצטרף למערכת העיתון היידי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דער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פריינד". ב-1914 עלה לארץ-ישראל, ומאז כתב עברית בלבד. היה מעורכי הירחון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מאזניים" ובעל מדור קבוע ב'דבר'. ב-1937 הוענק לו פרס ביאליק על כינוס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כתביו. יעקב שטיינברג נפטר בתל אביב בד' בתמוז תש"ז, 22 ביוני 1947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מקורות: קרסל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hyperlink r:id="rId8" w:tgtFrame="_blank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תדהר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לקסיקון אופק לספרות ילדים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hyperlink r:id="rId9" w:tgtFrame="_blank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ויקיפדיה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hyperlink r:id="rId10" w:tgtFrame="_blank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cs-CZ"/>
                </w:rPr>
                <w:t>ITHL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s-CZ"/>
              </w:rPr>
              <w:t xml:space="preserve">, </w:t>
            </w:r>
            <w:hyperlink r:id="rId11" w:tgtFrame="_blank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cs-CZ"/>
                </w:rPr>
                <w:t>YIVO Encyclopedia of Jews in Eastern Europe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]</w:t>
            </w:r>
          </w:p>
          <w:p w:rsidR="00640909" w:rsidRPr="00640909" w:rsidRDefault="00640909" w:rsidP="00640909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Books"/>
            <w:r w:rsidRPr="0064090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cs-CZ" w:bidi="he-IL"/>
              </w:rPr>
              <w:t>ספריו:</w:t>
            </w:r>
            <w:bookmarkEnd w:id="1"/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שירים (ווארשא : יבנה, תרס"ה)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געזאמעלטע שריפטען (ווארשא : וועלט-ביבליאָטעק, תרס"ט)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ספר הבדידות : שירים (ורשה : ספרות, תר"ע)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שושנת יעקב : קומידיאה אין 5 אקטוס קומפואיסטה פור יעקב שטיינבירג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טריזלאדאדה דיל איבריאו פור יעקב ברוך (קונסטאנטינופלה : דפוס ל' באבוק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תרפ"א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אין א פארוואָרפן ווינקל (בערלין : כלל-פארלאג, תרפ"ג 1922)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באשטאנעס (בערלין : כלל-פארלאג, תרפ"ג 1922)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שירים (ליפסיה : א"י שטיבל, תרפ"ג)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ספורים : בשני ספרים (ירושלים-ברלין : מוריה ודביר, תרפ"ג 1923)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רשימות (תל-אביב : דביר, תרפ"ח 1928)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דמויות וחזיונות (תל אביב : א"י שטיבל, תרצ"ד)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רשימות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כתבי יעקב שטיינברג (תל אביב : הוצאת ועד היובל, תרצ"ז) 3 כר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'.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התוכן: כרך א. שירים -- כרך ב. ספורים -- כרך ג. רשימות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שירים אחרונים (תל אביב : הוצאת החברה למפעלי ספרות של אגודת הסופרים העברים, תש"ח)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עם הקדמה מאת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12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אשר ברש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lastRenderedPageBreak/>
              <w:t>רשימות אחרונות (תל-אביב : אגודת הסופרים העברים ליד דביר, תשי"ב 1951)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כל כתבי יעקב שטיינברג (תל אביב : דביר, תשי"ז)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מבחר ליריקה ורשימות (תל-אביב : דביר, תשכ"ג)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כולל הקדמה מאת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13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נתן זך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ילקוט סיפורים (תל אביב : יחדיו ואגודת הסופרים העברים בישראל, תשכ"ו)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ליקט והוסיף מבוא והסברים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14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גרשון שקד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שירים, סיפורים ומחזות אשר לא נכללו בכל כתביו (תל אביב : אגודת הסופרים העברים בישראל והוצאת דביר, תשל"ו)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כינס והקדים מבוא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15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ישראל כהן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דיוקנאות וערכים : מסות אשר לא נכללו בכל כתביו  (תל אביב : אגודת הסופרים העברים בישראל ; דביר, תשל"ט 1979)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כינס והקדים מבוא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16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ישראל כהן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געזאמעלטע דערציילונגען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(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ירושלים : הוצאת ספרים ע"ש י"ל מאגנס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האוניברסיטה העברית, תשמ"ז 1986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כינס והוסיף מבוא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hyperlink r:id="rId17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אהרן קומם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הצעיף האדום   (תל-אביב : גוונים, תשנ"ח 1997)</w:t>
            </w: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בחר את הסיפורים והקדים מבוא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hyperlink r:id="rId18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רן יגיל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העיוורת : בת הרב ; בת ישראל ; בין לבני הכסף (תל אביב : בבל, תשס"א 2001)</w:t>
            </w:r>
          </w:p>
          <w:p w:rsidR="00640909" w:rsidRPr="00640909" w:rsidRDefault="00640909" w:rsidP="0064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cs-CZ" w:bidi="he-IL"/>
              </w:rPr>
              <w:t>תרגום</w:t>
            </w:r>
            <w:r w:rsidRPr="0064090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:</w:t>
            </w:r>
          </w:p>
          <w:p w:rsidR="00640909" w:rsidRPr="00640909" w:rsidRDefault="00640909" w:rsidP="006409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האגם השקט / מאת ק. אולד (תל אביב : אמנות, תרצ"א)</w:t>
            </w:r>
          </w:p>
          <w:p w:rsidR="00640909" w:rsidRPr="00640909" w:rsidRDefault="00640909" w:rsidP="0064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Bib."/>
            <w:r w:rsidRPr="0064090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cs-CZ" w:bidi="he-IL"/>
              </w:rPr>
              <w:t>על המחבר ויצירתו</w:t>
            </w:r>
            <w:r w:rsidRPr="0064090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:</w:t>
            </w:r>
            <w:bookmarkEnd w:id="2"/>
          </w:p>
          <w:p w:rsidR="00640909" w:rsidRPr="00640909" w:rsidRDefault="00640909" w:rsidP="0064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  <w:lang w:eastAsia="cs-CZ" w:bidi="he-IL"/>
              </w:rPr>
              <w:t>ספרים</w:t>
            </w:r>
            <w:r w:rsidRPr="006409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: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9" w:history="1"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אלבג, רוחמה</w:t>
              </w:r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 "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המצב האנושי" בסיפורי יעקב שטינברג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דרכי עיצובו תפיסתו ומקומו של מצב יסודי בסיפוריו (רמת גן, תש"ן)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עבודת גמר (מ.א.)--אוניברסיטת בר אילן, תש"ן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כהן, אהובה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 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השפעותיו של אנטון פ. צ'כוב על דרכי הסיפר בסיפורי יעקב שטיינברג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עיון משווה (רמת גן, תש"ע 2010)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דיסרטציה--אוניברסיטת בר אילן, תש"ע 2010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0" w:history="1"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כהן, ישראל</w:t>
              </w:r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יעקב שטיינברג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האיש ויצירתו (תל-אביב : דביר, תשל"ב 1972)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" w:history="1"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לוז, צבי</w:t>
              </w:r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  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שירת יעקב שטיינברג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מונוגרפיה (תל אביב : הקיבוץ המאוחד, 2000)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ערכה והביאה לדפוס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hyperlink r:id="rId22" w:history="1">
              <w:r w:rsidRPr="006409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לאה שניר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לוריא, שלום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 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הפואמה "רוסלאנד" של יעקב שטיינברג וזיקותיה לשירתו בעברית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 (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תל-אביב, תשל"א 1971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 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עבודת גמר לתואר "מוסמך". אוניברסיטת תל-אביב, תשל"א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מורס, סמדר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הגוף הנשי כסחורה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קריאה בשלושה סיפורים מאת יעקב שטיינברג (תל אביב, 2010)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עבודת גמר לתואר "מוסמך". אוניברסיטת תל-אביב, 2010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סיון, צפורה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שירת יעקב שטיינברג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(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רמת-גן, תשנ"א 1991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 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דיסרטציה -- אוניברסיטת בר-אילן, תשנ"א 1991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" w:history="1"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קומם, אהרן</w:t>
              </w:r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 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דרכי הסיפור של יעקב שטיינברג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ירושלים, תשל"ו 1976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 &lt;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דיסרטציה--האוניברסיטה העברית בירושלים, תשל"ו 1976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640909" w:rsidRPr="00640909" w:rsidRDefault="00640909" w:rsidP="006409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4" w:history="1"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שה-לבן, יוסף</w:t>
              </w:r>
              <w:r w:rsidRPr="006409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640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cs-CZ" w:bidi="he-IL"/>
              </w:rPr>
              <w:t>יעקב שטיינברג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640909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הערות והנחיות ללימוד ולקריאה (תל-אביב : אור-עם, תשמ"ב 1981)</w:t>
            </w:r>
          </w:p>
        </w:tc>
        <w:tc>
          <w:tcPr>
            <w:tcW w:w="0" w:type="auto"/>
            <w:vAlign w:val="center"/>
            <w:hideMark/>
          </w:tcPr>
          <w:p w:rsidR="00640909" w:rsidRPr="00640909" w:rsidRDefault="00640909" w:rsidP="0064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7F24FC" w:rsidRDefault="007F24FC"/>
    <w:sectPr w:rsidR="007F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748E"/>
    <w:multiLevelType w:val="multilevel"/>
    <w:tmpl w:val="751AD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C78308D"/>
    <w:multiLevelType w:val="multilevel"/>
    <w:tmpl w:val="ADE24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D7E23EE"/>
    <w:multiLevelType w:val="multilevel"/>
    <w:tmpl w:val="3DE4A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8F"/>
    <w:rsid w:val="00150D2C"/>
    <w:rsid w:val="00202BEF"/>
    <w:rsid w:val="003241E9"/>
    <w:rsid w:val="00355D22"/>
    <w:rsid w:val="00377827"/>
    <w:rsid w:val="004420BC"/>
    <w:rsid w:val="00447D08"/>
    <w:rsid w:val="005464C4"/>
    <w:rsid w:val="00640909"/>
    <w:rsid w:val="00720260"/>
    <w:rsid w:val="00784C8F"/>
    <w:rsid w:val="007B5B83"/>
    <w:rsid w:val="007F24FC"/>
    <w:rsid w:val="00803C7D"/>
    <w:rsid w:val="008C6306"/>
    <w:rsid w:val="00935FCF"/>
    <w:rsid w:val="00A1595B"/>
    <w:rsid w:val="00A53749"/>
    <w:rsid w:val="00AE0FC4"/>
    <w:rsid w:val="00B57B08"/>
    <w:rsid w:val="00C55DF1"/>
    <w:rsid w:val="00C87801"/>
    <w:rsid w:val="00D1166B"/>
    <w:rsid w:val="00E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8FDD-CC5E-4228-BEB7-3CEA301C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09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">
    <w:name w:val="margin"/>
    <w:basedOn w:val="Normln"/>
    <w:rsid w:val="0064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har.tourolib.org/tidhar/view/7/2867" TargetMode="External"/><Relationship Id="rId13" Type="http://schemas.openxmlformats.org/officeDocument/2006/relationships/hyperlink" Target="https://library.osu.edu/projects/hebrew-lexicon/00480.php" TargetMode="External"/><Relationship Id="rId18" Type="http://schemas.openxmlformats.org/officeDocument/2006/relationships/hyperlink" Target="https://library.osu.edu/projects/hebrew-lexicon/00825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brary.osu.edu/projects/hebrew-lexicon/00116.ph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library.osu.edu/projects/hebrew-lexicon/01208.php" TargetMode="External"/><Relationship Id="rId17" Type="http://schemas.openxmlformats.org/officeDocument/2006/relationships/hyperlink" Target="https://library.osu.edu/projects/hebrew-lexicon/00141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ary.osu.edu/projects/hebrew-lexicon/01061.php" TargetMode="External"/><Relationship Id="rId20" Type="http://schemas.openxmlformats.org/officeDocument/2006/relationships/hyperlink" Target="https://library.osu.edu/projects/hebrew-lexicon/01061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ivoencyclopedia.org/article.aspx/Steinberg_Yaakov" TargetMode="External"/><Relationship Id="rId24" Type="http://schemas.openxmlformats.org/officeDocument/2006/relationships/hyperlink" Target="https://library.osu.edu/projects/hebrew-lexicon/02518.php" TargetMode="External"/><Relationship Id="rId5" Type="http://schemas.openxmlformats.org/officeDocument/2006/relationships/hyperlink" Target="https://library.osu.edu/projects/hebrew-lexicon/index.htm" TargetMode="External"/><Relationship Id="rId15" Type="http://schemas.openxmlformats.org/officeDocument/2006/relationships/hyperlink" Target="https://library.osu.edu/projects/hebrew-lexicon/01061.php" TargetMode="External"/><Relationship Id="rId23" Type="http://schemas.openxmlformats.org/officeDocument/2006/relationships/hyperlink" Target="https://library.osu.edu/projects/hebrew-lexicon/00141.php" TargetMode="External"/><Relationship Id="rId10" Type="http://schemas.openxmlformats.org/officeDocument/2006/relationships/hyperlink" Target="http://www.ithl.org.il/page_13846" TargetMode="External"/><Relationship Id="rId19" Type="http://schemas.openxmlformats.org/officeDocument/2006/relationships/hyperlink" Target="https://library.osu.edu/projects/hebrew-lexicon/0172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&#1497;&#1506;&#1511;&#1489;_&#1513;&#1496;&#1497;&#1497;&#1504;&#1489;&#1512;&#1490;" TargetMode="External"/><Relationship Id="rId14" Type="http://schemas.openxmlformats.org/officeDocument/2006/relationships/hyperlink" Target="https://library.osu.edu/projects/hebrew-lexicon/00615.php" TargetMode="External"/><Relationship Id="rId22" Type="http://schemas.openxmlformats.org/officeDocument/2006/relationships/hyperlink" Target="https://library.osu.edu/projects/hebrew-lexicon/01233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Bousek, Daniel</dc:creator>
  <cp:keywords/>
  <dc:description/>
  <cp:lastModifiedBy>Bousek, Daniel</cp:lastModifiedBy>
  <cp:revision>2</cp:revision>
  <dcterms:created xsi:type="dcterms:W3CDTF">2020-04-19T08:54:00Z</dcterms:created>
  <dcterms:modified xsi:type="dcterms:W3CDTF">2020-04-19T08:54:00Z</dcterms:modified>
</cp:coreProperties>
</file>