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DFC30" w14:textId="5A77F9AE" w:rsidR="00DE59F1" w:rsidRDefault="009329CA" w:rsidP="009329CA">
      <w:r>
        <w:t xml:space="preserve">ŠEBKOVÁ, H. ŽLNAYOVÁ, E. </w:t>
      </w:r>
      <w:proofErr w:type="spellStart"/>
      <w:r>
        <w:t>Romaňi</w:t>
      </w:r>
      <w:proofErr w:type="spellEnd"/>
      <w:r>
        <w:t xml:space="preserve"> </w:t>
      </w:r>
      <w:proofErr w:type="spellStart"/>
      <w:r>
        <w:t>čhib</w:t>
      </w:r>
      <w:proofErr w:type="spellEnd"/>
      <w:r>
        <w:t>, učebnice slovenské romštiny. Praha: Fortuna, 2001. str. 51.</w:t>
      </w:r>
    </w:p>
    <w:p w14:paraId="47B26AF7" w14:textId="197FCFD6" w:rsidR="009329CA" w:rsidRDefault="00931207" w:rsidP="009329CA">
      <w:r>
        <w:t xml:space="preserve">Téma lekce: </w:t>
      </w:r>
      <w:r w:rsidR="00446D48">
        <w:t>zápor</w:t>
      </w:r>
      <w:r>
        <w:t xml:space="preserve"> slovesa </w:t>
      </w:r>
      <w:r w:rsidRPr="00931207">
        <w:rPr>
          <w:i/>
          <w:iCs/>
        </w:rPr>
        <w:t>být</w:t>
      </w:r>
      <w:r>
        <w:t xml:space="preserve"> v prézentu, základní předložky místa</w:t>
      </w:r>
    </w:p>
    <w:p w14:paraId="7EB55B11" w14:textId="61605EFC" w:rsidR="009329CA" w:rsidRDefault="00446D48" w:rsidP="009329CA">
      <w:r>
        <w:rPr>
          <w:noProof/>
        </w:rPr>
        <w:drawing>
          <wp:inline distT="0" distB="0" distL="0" distR="0" wp14:anchorId="44D78624" wp14:editId="2CE4FEE3">
            <wp:extent cx="4710375" cy="69342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346" cy="693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5E7CB" w14:textId="4AEA0487" w:rsidR="009329CA" w:rsidRDefault="009329CA" w:rsidP="009329CA"/>
    <w:p w14:paraId="0EBC8836" w14:textId="6B07DCDB" w:rsidR="009329CA" w:rsidRDefault="009329CA" w:rsidP="009329CA">
      <w:r>
        <w:t>Před touto lekcí je nutné znát:</w:t>
      </w:r>
    </w:p>
    <w:p w14:paraId="27B0A1E4" w14:textId="72B76148" w:rsidR="009329CA" w:rsidRDefault="009329CA" w:rsidP="009329CA">
      <w:pPr>
        <w:pStyle w:val="Odstavecseseznamem"/>
        <w:numPr>
          <w:ilvl w:val="0"/>
          <w:numId w:val="1"/>
        </w:numPr>
      </w:pPr>
      <w:r>
        <w:t xml:space="preserve">Tvary prézentu slovesa </w:t>
      </w:r>
      <w:r w:rsidRPr="009329CA">
        <w:rPr>
          <w:i/>
          <w:iCs/>
        </w:rPr>
        <w:t>být (</w:t>
      </w:r>
      <w:proofErr w:type="spellStart"/>
      <w:r w:rsidRPr="009329CA">
        <w:rPr>
          <w:i/>
          <w:iCs/>
        </w:rPr>
        <w:t>te</w:t>
      </w:r>
      <w:proofErr w:type="spellEnd"/>
      <w:r w:rsidRPr="009329CA">
        <w:rPr>
          <w:i/>
          <w:iCs/>
        </w:rPr>
        <w:t xml:space="preserve"> jel) </w:t>
      </w:r>
      <w:r>
        <w:t>ve všech osobách a číslech</w:t>
      </w:r>
    </w:p>
    <w:p w14:paraId="42EF2737" w14:textId="128E7B3E" w:rsidR="009329CA" w:rsidRDefault="009329CA" w:rsidP="009329CA">
      <w:pPr>
        <w:pStyle w:val="Odstavecseseznamem"/>
        <w:numPr>
          <w:ilvl w:val="0"/>
          <w:numId w:val="1"/>
        </w:numPr>
      </w:pPr>
      <w:r>
        <w:t>Členy feminina, maskulina a plurálu</w:t>
      </w:r>
    </w:p>
    <w:p w14:paraId="5AF7F893" w14:textId="7F1AB397" w:rsidR="009329CA" w:rsidRDefault="009329CA" w:rsidP="009329CA">
      <w:pPr>
        <w:pStyle w:val="Odstavecseseznamem"/>
        <w:numPr>
          <w:ilvl w:val="0"/>
          <w:numId w:val="1"/>
        </w:numPr>
      </w:pPr>
      <w:r>
        <w:t>Tvary adjektiv nominativu feminina a maskulina i plurálu</w:t>
      </w:r>
    </w:p>
    <w:p w14:paraId="3E689F4B" w14:textId="1CAFC1DF" w:rsidR="009329CA" w:rsidRDefault="009329CA" w:rsidP="009329CA">
      <w:r>
        <w:lastRenderedPageBreak/>
        <w:t>Následuje:</w:t>
      </w:r>
    </w:p>
    <w:p w14:paraId="4AA6FCDB" w14:textId="36B79CBD" w:rsidR="009329CA" w:rsidRPr="009329CA" w:rsidRDefault="009329CA" w:rsidP="009329CA">
      <w:pPr>
        <w:pStyle w:val="Odstavecseseznamem"/>
        <w:numPr>
          <w:ilvl w:val="0"/>
          <w:numId w:val="2"/>
        </w:numPr>
      </w:pPr>
      <w:r>
        <w:t xml:space="preserve">Tvary prézentu slovesa </w:t>
      </w:r>
      <w:r>
        <w:rPr>
          <w:i/>
          <w:iCs/>
        </w:rPr>
        <w:t>jít (</w:t>
      </w:r>
      <w:proofErr w:type="spellStart"/>
      <w:r>
        <w:rPr>
          <w:i/>
          <w:iCs/>
        </w:rPr>
        <w:t>te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džal</w:t>
      </w:r>
      <w:proofErr w:type="spellEnd"/>
      <w:r>
        <w:rPr>
          <w:i/>
          <w:iCs/>
        </w:rPr>
        <w:t xml:space="preserve">) </w:t>
      </w:r>
      <w:r w:rsidRPr="009329CA">
        <w:t>ve všech osobách a číslech</w:t>
      </w:r>
      <w:r>
        <w:rPr>
          <w:i/>
          <w:iCs/>
        </w:rPr>
        <w:t xml:space="preserve"> </w:t>
      </w:r>
      <w:r>
        <w:t>(=paradigma časování tzv. sloves 1. třídy)</w:t>
      </w:r>
    </w:p>
    <w:p w14:paraId="1DAD5078" w14:textId="7890500B" w:rsidR="009329CA" w:rsidRDefault="009329CA" w:rsidP="009329CA">
      <w:pPr>
        <w:pStyle w:val="Odstavecseseznamem"/>
        <w:numPr>
          <w:ilvl w:val="0"/>
          <w:numId w:val="2"/>
        </w:numPr>
      </w:pPr>
      <w:r>
        <w:t>Tvar nepřímého pádu pro členy všech rodů a čísel</w:t>
      </w:r>
      <w:r w:rsidR="00931207">
        <w:t xml:space="preserve"> (používá se před jmény v jiném pádě než nominativ)</w:t>
      </w:r>
    </w:p>
    <w:p w14:paraId="6A067864" w14:textId="4F749C13" w:rsidR="009329CA" w:rsidRDefault="00446D48" w:rsidP="009329CA">
      <w:pPr>
        <w:pStyle w:val="Odstavecseseznamem"/>
        <w:numPr>
          <w:ilvl w:val="0"/>
          <w:numId w:val="2"/>
        </w:numPr>
      </w:pPr>
      <w:r>
        <w:t>Tvary akuzativu</w:t>
      </w:r>
      <w:r w:rsidR="00DD7350">
        <w:t xml:space="preserve"> maskulin i feminin (tvar akuzativu je shodný s tvary nepřímého pádu, ke kterému se připojují koncovky ostatních pádů)</w:t>
      </w:r>
    </w:p>
    <w:p w14:paraId="6028AA5D" w14:textId="77777777" w:rsidR="009329CA" w:rsidRPr="009329CA" w:rsidRDefault="009329CA" w:rsidP="009329CA"/>
    <w:sectPr w:rsidR="009329CA" w:rsidRPr="00932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F47809"/>
    <w:multiLevelType w:val="hybridMultilevel"/>
    <w:tmpl w:val="810E6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4A58C6"/>
    <w:multiLevelType w:val="hybridMultilevel"/>
    <w:tmpl w:val="D2EC2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9CA"/>
    <w:rsid w:val="00446D48"/>
    <w:rsid w:val="0081460A"/>
    <w:rsid w:val="00931207"/>
    <w:rsid w:val="009329CA"/>
    <w:rsid w:val="00DD7350"/>
    <w:rsid w:val="00F9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90D28"/>
  <w15:chartTrackingRefBased/>
  <w15:docId w15:val="{1AD911F6-F608-49F8-84E3-6424AB73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2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Josefina</dc:creator>
  <cp:keywords/>
  <dc:description/>
  <cp:lastModifiedBy>Josefina</cp:lastModifiedBy>
  <cp:revision>2</cp:revision>
  <dcterms:created xsi:type="dcterms:W3CDTF">2020-07-26T09:08:00Z</dcterms:created>
  <dcterms:modified xsi:type="dcterms:W3CDTF">2020-07-26T09:36:00Z</dcterms:modified>
</cp:coreProperties>
</file>