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1C" w:rsidRDefault="003A361C" w:rsidP="003A361C">
      <w:pPr>
        <w:pStyle w:val="Nadpis3"/>
        <w:rPr>
          <w:color w:val="auto"/>
        </w:rPr>
      </w:pPr>
      <w:r>
        <w:rPr>
          <w:color w:val="auto"/>
        </w:rPr>
        <w:t xml:space="preserve">Citace z </w:t>
      </w:r>
    </w:p>
    <w:p w:rsidR="003A361C" w:rsidRDefault="003A361C" w:rsidP="003A361C">
      <w:pPr>
        <w:rPr>
          <w:rFonts w:ascii="Calibri" w:eastAsia="Calibri" w:hAnsi="Calibri"/>
        </w:rPr>
      </w:pPr>
    </w:p>
    <w:p w:rsidR="003A361C" w:rsidRPr="00A5594B" w:rsidRDefault="003A361C" w:rsidP="003A361C">
      <w:pPr>
        <w:rPr>
          <w:rFonts w:ascii="Calibri" w:hAnsi="Calibri"/>
        </w:rPr>
      </w:pPr>
      <w:r w:rsidRPr="00A5594B">
        <w:rPr>
          <w:rFonts w:ascii="Calibri" w:eastAsia="Calibri" w:hAnsi="Calibri"/>
        </w:rPr>
        <w:t>JANČAŘÍKOVÁ, K. Didaktické přístupy k přírodovědnému vzdělávání předškolních dětí a mladších žáků. 2. rozšířené vyd. Praha: Univerzita Karlova v Praze, Pedagogická fakulta, 2019. ISBN 978-80-7603-051-0.</w:t>
      </w:r>
    </w:p>
    <w:p w:rsidR="003A361C" w:rsidRPr="00073FDE" w:rsidRDefault="003A361C" w:rsidP="003A361C">
      <w:pPr>
        <w:pStyle w:val="Nadpis3"/>
        <w:rPr>
          <w:color w:val="auto"/>
        </w:rPr>
      </w:pPr>
      <w:r w:rsidRPr="00073FDE">
        <w:rPr>
          <w:color w:val="auto"/>
        </w:rPr>
        <w:t>Piagetovy pokusy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Pomocí těchto pokusů demonstroval Piaget rozdíl v uvažování dětí v předoperačním stadiu a stadiu konkrétních operací. Piagetovy pokusy byly – vzhledem k jejich obsahu, který je v úzké souvislosti s přírodovědným bádáním – použity při výuce (viz kpt. 2.5).</w:t>
      </w:r>
    </w:p>
    <w:p w:rsidR="003A361C" w:rsidRPr="00073FDE" w:rsidRDefault="003A361C" w:rsidP="003A361C">
      <w:pPr>
        <w:rPr>
          <w:rFonts w:ascii="Times New Roman" w:hAnsi="Times New Roman" w:cs="Times New Roman"/>
          <w:b/>
          <w:sz w:val="24"/>
          <w:szCs w:val="24"/>
        </w:rPr>
      </w:pPr>
      <w:r w:rsidRPr="00073FDE">
        <w:rPr>
          <w:rFonts w:ascii="Times New Roman" w:hAnsi="Times New Roman" w:cs="Times New Roman"/>
          <w:b/>
          <w:sz w:val="24"/>
          <w:szCs w:val="24"/>
        </w:rPr>
        <w:t>Pokus s vodou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Pomůcky: dvě stejné skleněné (průhledné) nádoby s vodou, např. misky na kompot či široké a nízké zavařovací sklenice, jedna skleněná (průhledná) sklenice s vodou, která musí být užší a vyšší než dvě předchozí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Provedení: Před předškoláka postavíme nejprve dvě stejné nádoby s vodou. Do obou nalijeme stejné množství vody. Hladina v obou nádobách bude ve stejné výšce. Následně vezmeme jednu z nádob a vodu z ní přelijeme do nádoby třetí (úzké a vysoké). Postavíme třetí nádobu vedle první (hladiny nemají ve stejné úrovni). Zeptáme se dítěte: „Kde je více vody? V této nádobě nebo v této nádobě (ukazujeme)? Nebo je vody stejně?“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Obvyklá odpověď: Dítě označí, že je v jedné nádobě více vody.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Pokračování: Ze třetí nádoby vodu opět vlijeme do druhé. Postavíme ji vedle první. Zeptáme se dítěte: „Kde je více vody? V této nádobě nebo v této nádobě (ukazujeme)? Nebo je vody stejně?“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Obvyklá odpověď: Dítě odpoví, že je v obou nádobách stejně vody.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Piagetovo vysvětlení: dítě se nachází ve vývojovém stadiu, které neumožňuje uvědomit si, že množství vody je neměnné.</w:t>
      </w:r>
    </w:p>
    <w:p w:rsidR="003A361C" w:rsidRPr="00073FDE" w:rsidRDefault="003A361C" w:rsidP="003A361C">
      <w:pPr>
        <w:rPr>
          <w:rFonts w:ascii="Times New Roman" w:hAnsi="Times New Roman" w:cs="Times New Roman"/>
          <w:b/>
          <w:sz w:val="24"/>
          <w:szCs w:val="24"/>
        </w:rPr>
      </w:pPr>
      <w:r w:rsidRPr="00073FDE">
        <w:rPr>
          <w:rFonts w:ascii="Times New Roman" w:hAnsi="Times New Roman" w:cs="Times New Roman"/>
          <w:b/>
          <w:sz w:val="24"/>
          <w:szCs w:val="24"/>
        </w:rPr>
        <w:t>Pokus s knoflíky (mincemi)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Pomůcky: 10 stejných knoflíků nebo mincí apod.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Provedení: Před dítě vyrovnáme knoflíky do dvou řad ve stejných rozestupech. Po chvíli knoflíky z jedné řady posuneme tak, aby rozestupy mezi nimi byly větší.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Zeptáme se dítěte: „Ve které řadě je více knoflíků? V téhle nebo v téhle (ukazujeme)? Nebo je v obou řadách stejně?“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Obvyklá odpověď: Dítě odpoví, že více knoflíků je v řadě, ve které jsou větší rozestupy mezi knoflíky.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lastRenderedPageBreak/>
        <w:t>Pokračování: Knoflíky posuneme tak, aby v obou řadách byly stejné rozestupy. Zeptáme se dítěte: „Ve které řadě je více knoflíků? V téhle nebo v téhle (ukazujeme)? Nebo je v obou řadách stejně?“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Obvyklá odpověď: Dítě odpoví, že v obou řadách je stejně knoflíků.</w:t>
      </w:r>
    </w:p>
    <w:p w:rsidR="003A361C" w:rsidRPr="00073FDE" w:rsidRDefault="003A361C" w:rsidP="003A361C">
      <w:pPr>
        <w:rPr>
          <w:rFonts w:ascii="Times New Roman" w:hAnsi="Times New Roman" w:cs="Times New Roman"/>
          <w:b/>
          <w:sz w:val="24"/>
          <w:szCs w:val="24"/>
        </w:rPr>
      </w:pPr>
      <w:r w:rsidRPr="00073FDE">
        <w:rPr>
          <w:rFonts w:ascii="Times New Roman" w:hAnsi="Times New Roman" w:cs="Times New Roman"/>
          <w:b/>
          <w:sz w:val="24"/>
          <w:szCs w:val="24"/>
        </w:rPr>
        <w:t>Pokus s plastelínou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Pomůcky: plastelína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Provedení: Z plastelíny vyválíme kuličky, které budou mít stejný objem. Ukážeme je dítěti a pak jednu z kuliček rozválíme na placku. Zeptáme se dítěte: „Co by sis vzal, abys měl nejvíce plastelíny?“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Obvyklý výsledek: Dítě označí placičku nebo kuličku. Nedokáže usoudit, že je množství plastelíny stejné.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 xml:space="preserve">Piagetovo vysvětlení: Dítě se nachází ve vývojovém stadiu, ve kterém nedokáže posoudit objem. </w:t>
      </w:r>
    </w:p>
    <w:p w:rsidR="003A361C" w:rsidRPr="00073FDE" w:rsidRDefault="003A361C" w:rsidP="003A361C">
      <w:pPr>
        <w:rPr>
          <w:rFonts w:ascii="Times New Roman" w:hAnsi="Times New Roman" w:cs="Times New Roman"/>
          <w:b/>
          <w:sz w:val="24"/>
          <w:szCs w:val="24"/>
        </w:rPr>
      </w:pPr>
      <w:r w:rsidRPr="00073FDE">
        <w:rPr>
          <w:rFonts w:ascii="Times New Roman" w:hAnsi="Times New Roman" w:cs="Times New Roman"/>
          <w:b/>
          <w:sz w:val="24"/>
          <w:szCs w:val="24"/>
        </w:rPr>
        <w:t>Pokus se sušenkami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Potřeby: tři sušenky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Provedení: Řekneme dítěti, že se s ním rozdělíme o sušenky. Sami 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FDE">
        <w:rPr>
          <w:rFonts w:ascii="Times New Roman" w:hAnsi="Times New Roman" w:cs="Times New Roman"/>
          <w:sz w:val="24"/>
          <w:szCs w:val="24"/>
        </w:rPr>
        <w:t xml:space="preserve"> vezmeme dvě sušenky a dítěti dáme jednu. Zeptáme se dítěte: „Je to spravedlivé?“ Dítě odpoví, že ne, protože ono má jen jednu. Vezmeme jeho sušenku a rozdělíme ji na dvě půlky. Zeptáme se: „A teď je to spravedlivé?“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Obvyklá odpověď dítěte je: „Ano.“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Piagetovo vysvětlení: Dítě se nachází ve vývojovém stadiu, ve kterém nedokáže posoudit objem.</w:t>
      </w:r>
    </w:p>
    <w:p w:rsidR="003A361C" w:rsidRPr="00073FDE" w:rsidRDefault="003A361C" w:rsidP="003A361C">
      <w:pPr>
        <w:rPr>
          <w:rFonts w:ascii="Times New Roman" w:hAnsi="Times New Roman" w:cs="Times New Roman"/>
          <w:b/>
          <w:sz w:val="24"/>
          <w:szCs w:val="24"/>
        </w:rPr>
      </w:pPr>
      <w:r w:rsidRPr="00073FDE">
        <w:rPr>
          <w:rFonts w:ascii="Times New Roman" w:hAnsi="Times New Roman" w:cs="Times New Roman"/>
          <w:b/>
          <w:sz w:val="24"/>
          <w:szCs w:val="24"/>
        </w:rPr>
        <w:t>Pokus se špejlemi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 xml:space="preserve">Potřeby: dvě špejle 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Provedení: Položíme před dítě obě špejle tak, aby ležely (vzhledem k dítěti) nad sebou. Poté jednu z nich posuneme. Zeptáme se dítěte: „Která je kratší? Tahle nebo tahle (ukazujeme)? Nebo jsou stejné?“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Obvyklá odpověď: Dítě označí jednu špejli jako kratší.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Pokračování: Posuneme špejle do původní pozice. Opět se zeptáme dítěte: „Která je kratší? Tahle nebo tahle (ukazujeme)? Nebo jsou stejné?“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t>Obvyklá odpověď: Dítě řekne, že jsou stejné.</w:t>
      </w:r>
    </w:p>
    <w:p w:rsidR="003A361C" w:rsidRPr="00073FDE" w:rsidRDefault="003A361C" w:rsidP="003A361C">
      <w:pPr>
        <w:rPr>
          <w:rFonts w:ascii="Times New Roman" w:hAnsi="Times New Roman" w:cs="Times New Roman"/>
          <w:sz w:val="24"/>
          <w:szCs w:val="24"/>
        </w:rPr>
      </w:pPr>
      <w:r w:rsidRPr="00073FDE">
        <w:rPr>
          <w:rFonts w:ascii="Times New Roman" w:hAnsi="Times New Roman" w:cs="Times New Roman"/>
          <w:sz w:val="24"/>
          <w:szCs w:val="24"/>
        </w:rPr>
        <w:lastRenderedPageBreak/>
        <w:t xml:space="preserve">Piagetovo vysvětlení: Dítě se nachází ve vývojovém stadiu, ve kterém nedokáže usoudit, že délka je stejná i po přesunu. </w:t>
      </w:r>
      <w:bookmarkStart w:id="0" w:name="_GoBack"/>
      <w:bookmarkEnd w:id="0"/>
    </w:p>
    <w:sectPr w:rsidR="003A361C" w:rsidRPr="0007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DC" w:rsidRDefault="00A71ADC" w:rsidP="003A361C">
      <w:pPr>
        <w:spacing w:after="0" w:line="240" w:lineRule="auto"/>
      </w:pPr>
      <w:r>
        <w:separator/>
      </w:r>
    </w:p>
  </w:endnote>
  <w:endnote w:type="continuationSeparator" w:id="0">
    <w:p w:rsidR="00A71ADC" w:rsidRDefault="00A71ADC" w:rsidP="003A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DC" w:rsidRDefault="00A71ADC" w:rsidP="003A361C">
      <w:pPr>
        <w:spacing w:after="0" w:line="240" w:lineRule="auto"/>
      </w:pPr>
      <w:r>
        <w:separator/>
      </w:r>
    </w:p>
  </w:footnote>
  <w:footnote w:type="continuationSeparator" w:id="0">
    <w:p w:rsidR="00A71ADC" w:rsidRDefault="00A71ADC" w:rsidP="003A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356B"/>
    <w:multiLevelType w:val="hybridMultilevel"/>
    <w:tmpl w:val="118A4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69E0"/>
    <w:multiLevelType w:val="hybridMultilevel"/>
    <w:tmpl w:val="07EE83E2"/>
    <w:lvl w:ilvl="0" w:tplc="9AE6D6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A168A7"/>
    <w:multiLevelType w:val="hybridMultilevel"/>
    <w:tmpl w:val="183E6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0B"/>
    <w:rsid w:val="0014050B"/>
    <w:rsid w:val="001E1D07"/>
    <w:rsid w:val="003A361C"/>
    <w:rsid w:val="00A71ADC"/>
    <w:rsid w:val="00D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5E02-4C8B-4CAE-9AF2-FA682F9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61C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361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361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361C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361C"/>
    <w:rPr>
      <w:rFonts w:ascii="Times New Roman" w:eastAsiaTheme="majorEastAsia" w:hAnsi="Times New Roman" w:cstheme="majorBidi"/>
      <w:b/>
      <w:bCs/>
      <w:color w:val="000000" w:themeColor="text1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3A36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rsid w:val="003A36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361C"/>
    <w:rPr>
      <w:rFonts w:eastAsiaTheme="minorEastAsi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361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3A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3A361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qFormat/>
    <w:rsid w:val="003A361C"/>
    <w:rPr>
      <w:vertAlign w:val="superscript"/>
    </w:rPr>
  </w:style>
  <w:style w:type="paragraph" w:styleId="Zkladntext">
    <w:name w:val="Body Text"/>
    <w:basedOn w:val="Normln"/>
    <w:link w:val="ZkladntextChar"/>
    <w:semiHidden/>
    <w:rsid w:val="003A361C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A361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A361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3A361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2</cp:revision>
  <dcterms:created xsi:type="dcterms:W3CDTF">2020-04-02T11:45:00Z</dcterms:created>
  <dcterms:modified xsi:type="dcterms:W3CDTF">2020-04-02T11:45:00Z</dcterms:modified>
</cp:coreProperties>
</file>