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125E6" w14:textId="77777777" w:rsidR="005D15E2" w:rsidRDefault="005D15E2" w:rsidP="005D15E2">
      <w:pPr>
        <w:pStyle w:val="Nadpis1"/>
        <w:numPr>
          <w:ilvl w:val="0"/>
          <w:numId w:val="3"/>
        </w:numPr>
      </w:pPr>
      <w:bookmarkStart w:id="0" w:name="_Toc12836414"/>
      <w:bookmarkStart w:id="1" w:name="_GoBack"/>
      <w:bookmarkEnd w:id="1"/>
      <w:r>
        <w:t>Uči (</w:t>
      </w:r>
      <w:r>
        <w:rPr>
          <w:rFonts w:hint="eastAsia"/>
          <w:lang w:val="en-US"/>
        </w:rPr>
        <w:t>うち、ウチ、内</w:t>
      </w:r>
      <w:r>
        <w:t>)</w:t>
      </w:r>
      <w:bookmarkEnd w:id="0"/>
    </w:p>
    <w:p w14:paraId="54D7E010" w14:textId="77777777" w:rsidR="005D15E2" w:rsidRDefault="005D15E2" w:rsidP="005D15E2">
      <w:pPr>
        <w:pStyle w:val="Bezmezer"/>
      </w:pPr>
      <w:r>
        <w:t>Prvním vyšetřeným pomocným podstatným jménem je uči.</w:t>
      </w:r>
      <w:r w:rsidR="00C97039">
        <w:t xml:space="preserve"> Jeho hlavním významem je </w:t>
      </w:r>
      <w:r w:rsidR="00C97039" w:rsidRPr="00C97039">
        <w:rPr>
          <w:i/>
        </w:rPr>
        <w:t>uvnitř</w:t>
      </w:r>
      <w:r w:rsidR="00C97039">
        <w:t xml:space="preserve">, ale objevuje se i v konstrukcích s významem posunutým na časové užití, které lze přeložit jako </w:t>
      </w:r>
      <w:r w:rsidR="00C97039" w:rsidRPr="00C97039">
        <w:rPr>
          <w:i/>
        </w:rPr>
        <w:t>dokud</w:t>
      </w:r>
      <w:r w:rsidR="00C97039">
        <w:t xml:space="preserve">. Protože upřesňuje </w:t>
      </w:r>
      <w:r w:rsidR="001A5B6F">
        <w:t>časoprostorový vztah svého přívlastku, jedná se pomocné jméno s předložkovým užitím.</w:t>
      </w:r>
      <w:r w:rsidR="005342D6">
        <w:t xml:space="preserve"> S mírou gramatikalizace jedenáct bylo zvoleno jako více gramatikalizovaný zástupce své kategorie.</w:t>
      </w:r>
    </w:p>
    <w:p w14:paraId="78BBBB26" w14:textId="77777777" w:rsidR="00021597" w:rsidRDefault="00021597" w:rsidP="00021597">
      <w:pPr>
        <w:pStyle w:val="Nadpis2"/>
        <w:numPr>
          <w:ilvl w:val="1"/>
          <w:numId w:val="3"/>
        </w:numPr>
      </w:pPr>
      <w:bookmarkStart w:id="2" w:name="_Ref12742528"/>
      <w:bookmarkStart w:id="3" w:name="_Ref12778666"/>
      <w:bookmarkStart w:id="4" w:name="_Ref12789819"/>
      <w:bookmarkStart w:id="5" w:name="_Ref12801665"/>
      <w:bookmarkStart w:id="6" w:name="_Ref12801666"/>
      <w:bookmarkStart w:id="7" w:name="_Ref12809700"/>
      <w:bookmarkStart w:id="8" w:name="_Ref12815227"/>
      <w:bookmarkStart w:id="9" w:name="_Ref12819445"/>
      <w:bookmarkStart w:id="10" w:name="_Toc12836415"/>
      <w:r>
        <w:t>První náhled</w:t>
      </w:r>
      <w:bookmarkEnd w:id="2"/>
      <w:bookmarkEnd w:id="3"/>
      <w:bookmarkEnd w:id="4"/>
      <w:bookmarkEnd w:id="5"/>
      <w:bookmarkEnd w:id="6"/>
      <w:bookmarkEnd w:id="7"/>
      <w:bookmarkEnd w:id="8"/>
      <w:bookmarkEnd w:id="9"/>
      <w:bookmarkEnd w:id="10"/>
    </w:p>
    <w:p w14:paraId="55078BE0" w14:textId="77777777" w:rsidR="00021597" w:rsidRDefault="00C4366E" w:rsidP="00021597">
      <w:pPr>
        <w:pStyle w:val="Bezmezer"/>
      </w:pPr>
      <w:r>
        <w:t xml:space="preserve">Po stažení dat a jejich filtraci zůstalo 33 199 záznamů, z čehož </w:t>
      </w:r>
      <w:r w:rsidR="00C07F8F">
        <w:t xml:space="preserve">30 650 (92,32%) je zapsáno hiraganou, 87 (0,26%) katakanou a zbylých 2 462 (7,42%) znakem. </w:t>
      </w:r>
      <w:r w:rsidR="00E4649E">
        <w:t>Podrobnosti jsou vidět v následující</w:t>
      </w:r>
      <w:r w:rsidR="00164808">
        <w:t>ch</w:t>
      </w:r>
      <w:r w:rsidR="00E4649E">
        <w:t xml:space="preserve"> tabul</w:t>
      </w:r>
      <w:r w:rsidR="00164808">
        <w:t>kách</w:t>
      </w:r>
      <w:r w:rsidR="00E4649E">
        <w:t>:</w:t>
      </w:r>
    </w:p>
    <w:tbl>
      <w:tblPr>
        <w:tblW w:w="6640" w:type="dxa"/>
        <w:tblCellMar>
          <w:left w:w="70" w:type="dxa"/>
          <w:right w:w="70" w:type="dxa"/>
        </w:tblCellMar>
        <w:tblLook w:val="04A0" w:firstRow="1" w:lastRow="0" w:firstColumn="1" w:lastColumn="0" w:noHBand="0" w:noVBand="1"/>
      </w:tblPr>
      <w:tblGrid>
        <w:gridCol w:w="2800"/>
        <w:gridCol w:w="960"/>
        <w:gridCol w:w="960"/>
        <w:gridCol w:w="960"/>
        <w:gridCol w:w="960"/>
      </w:tblGrid>
      <w:tr w:rsidR="00D126BA" w:rsidRPr="00D126BA" w14:paraId="0C3E62AF" w14:textId="77777777" w:rsidTr="00B276B7">
        <w:trPr>
          <w:cantSplit/>
          <w:trHeight w:val="330"/>
        </w:trPr>
        <w:tc>
          <w:tcPr>
            <w:tcW w:w="2800" w:type="dxa"/>
            <w:tcBorders>
              <w:top w:val="single" w:sz="12" w:space="0" w:color="auto"/>
              <w:left w:val="single" w:sz="12" w:space="0" w:color="auto"/>
              <w:bottom w:val="nil"/>
              <w:right w:val="single" w:sz="4" w:space="0" w:color="auto"/>
            </w:tcBorders>
            <w:shd w:val="clear" w:color="000000" w:fill="BDD7EE"/>
            <w:noWrap/>
            <w:vAlign w:val="bottom"/>
            <w:hideMark/>
          </w:tcPr>
          <w:p w14:paraId="1D8DFFF2" w14:textId="77777777" w:rsidR="00D126BA" w:rsidRPr="00D126BA" w:rsidRDefault="00D126BA" w:rsidP="00B276B7">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Subkorpus</w:t>
            </w:r>
          </w:p>
        </w:tc>
        <w:tc>
          <w:tcPr>
            <w:tcW w:w="960" w:type="dxa"/>
            <w:tcBorders>
              <w:top w:val="single" w:sz="12" w:space="0" w:color="auto"/>
              <w:left w:val="nil"/>
              <w:bottom w:val="nil"/>
              <w:right w:val="single" w:sz="4" w:space="0" w:color="auto"/>
            </w:tcBorders>
            <w:shd w:val="clear" w:color="000000" w:fill="BDD7EE"/>
            <w:noWrap/>
            <w:vAlign w:val="bottom"/>
            <w:hideMark/>
          </w:tcPr>
          <w:p w14:paraId="6BA0AC25" w14:textId="77777777" w:rsidR="00D126BA" w:rsidRPr="00D126BA" w:rsidRDefault="00D126BA" w:rsidP="00B276B7">
            <w:pPr>
              <w:keepNext/>
              <w:spacing w:line="240" w:lineRule="auto"/>
              <w:ind w:firstLine="0"/>
              <w:jc w:val="center"/>
              <w:rPr>
                <w:rFonts w:ascii="Calibri" w:eastAsia="Times New Roman" w:hAnsi="Calibri" w:cs="Times New Roman"/>
                <w:b/>
                <w:bCs/>
                <w:color w:val="000000"/>
                <w:sz w:val="22"/>
              </w:rPr>
            </w:pPr>
            <w:r w:rsidRPr="00D126BA">
              <w:rPr>
                <w:rFonts w:ascii="ＭＳ ゴシック" w:eastAsia="Times New Roman" w:hAnsi="ＭＳ ゴシック" w:cs="ＭＳ ゴシック"/>
                <w:b/>
                <w:bCs/>
                <w:color w:val="000000"/>
                <w:sz w:val="22"/>
              </w:rPr>
              <w:t>ウチ</w:t>
            </w:r>
          </w:p>
        </w:tc>
        <w:tc>
          <w:tcPr>
            <w:tcW w:w="960" w:type="dxa"/>
            <w:tcBorders>
              <w:top w:val="single" w:sz="12" w:space="0" w:color="auto"/>
              <w:left w:val="nil"/>
              <w:bottom w:val="nil"/>
              <w:right w:val="single" w:sz="4" w:space="0" w:color="auto"/>
            </w:tcBorders>
            <w:shd w:val="clear" w:color="000000" w:fill="BDD7EE"/>
            <w:noWrap/>
            <w:vAlign w:val="bottom"/>
            <w:hideMark/>
          </w:tcPr>
          <w:p w14:paraId="0DF9015A" w14:textId="77777777" w:rsidR="00D126BA" w:rsidRPr="00D126BA" w:rsidRDefault="00D126BA" w:rsidP="00B276B7">
            <w:pPr>
              <w:keepNext/>
              <w:spacing w:line="240" w:lineRule="auto"/>
              <w:ind w:firstLine="0"/>
              <w:jc w:val="center"/>
              <w:rPr>
                <w:rFonts w:ascii="Calibri" w:eastAsia="Times New Roman" w:hAnsi="Calibri" w:cs="Times New Roman"/>
                <w:b/>
                <w:bCs/>
                <w:color w:val="000000"/>
                <w:sz w:val="22"/>
              </w:rPr>
            </w:pPr>
            <w:r w:rsidRPr="00D126BA">
              <w:rPr>
                <w:rFonts w:ascii="ＭＳ ゴシック" w:eastAsia="Times New Roman" w:hAnsi="ＭＳ ゴシック" w:cs="ＭＳ ゴシック"/>
                <w:b/>
                <w:bCs/>
                <w:color w:val="000000"/>
                <w:sz w:val="22"/>
              </w:rPr>
              <w:t>うち</w:t>
            </w:r>
          </w:p>
        </w:tc>
        <w:tc>
          <w:tcPr>
            <w:tcW w:w="960" w:type="dxa"/>
            <w:tcBorders>
              <w:top w:val="single" w:sz="12" w:space="0" w:color="auto"/>
              <w:left w:val="nil"/>
              <w:bottom w:val="nil"/>
              <w:right w:val="single" w:sz="4" w:space="0" w:color="auto"/>
            </w:tcBorders>
            <w:shd w:val="clear" w:color="000000" w:fill="BDD7EE"/>
            <w:noWrap/>
            <w:vAlign w:val="bottom"/>
            <w:hideMark/>
          </w:tcPr>
          <w:p w14:paraId="24B5A18E" w14:textId="77777777" w:rsidR="00D126BA" w:rsidRPr="00D126BA" w:rsidRDefault="00D126BA" w:rsidP="00B276B7">
            <w:pPr>
              <w:keepNext/>
              <w:spacing w:line="240" w:lineRule="auto"/>
              <w:ind w:firstLine="0"/>
              <w:jc w:val="center"/>
              <w:rPr>
                <w:rFonts w:ascii="Calibri" w:eastAsia="Times New Roman" w:hAnsi="Calibri" w:cs="Times New Roman"/>
                <w:b/>
                <w:bCs/>
                <w:color w:val="000000"/>
                <w:sz w:val="22"/>
              </w:rPr>
            </w:pPr>
            <w:r w:rsidRPr="00D126BA">
              <w:rPr>
                <w:rFonts w:ascii="ＭＳ ゴシック" w:eastAsia="Times New Roman" w:hAnsi="ＭＳ ゴシック" w:cs="ＭＳ ゴシック"/>
                <w:b/>
                <w:bCs/>
                <w:color w:val="000000"/>
                <w:sz w:val="22"/>
              </w:rPr>
              <w:t>内</w:t>
            </w:r>
          </w:p>
        </w:tc>
        <w:tc>
          <w:tcPr>
            <w:tcW w:w="960" w:type="dxa"/>
            <w:tcBorders>
              <w:top w:val="single" w:sz="12" w:space="0" w:color="auto"/>
              <w:left w:val="nil"/>
              <w:bottom w:val="nil"/>
              <w:right w:val="single" w:sz="12" w:space="0" w:color="auto"/>
            </w:tcBorders>
            <w:shd w:val="clear" w:color="000000" w:fill="BDD7EE"/>
            <w:noWrap/>
            <w:vAlign w:val="bottom"/>
            <w:hideMark/>
          </w:tcPr>
          <w:p w14:paraId="67037F7A" w14:textId="77777777" w:rsidR="00D126BA" w:rsidRPr="00D126BA" w:rsidRDefault="00D126BA" w:rsidP="00B276B7">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Součet</w:t>
            </w:r>
          </w:p>
        </w:tc>
      </w:tr>
      <w:tr w:rsidR="00D126BA" w:rsidRPr="00D126BA" w14:paraId="7E55D61A" w14:textId="77777777" w:rsidTr="00B276B7">
        <w:trPr>
          <w:cantSplit/>
          <w:trHeight w:val="300"/>
        </w:trPr>
        <w:tc>
          <w:tcPr>
            <w:tcW w:w="2800" w:type="dxa"/>
            <w:tcBorders>
              <w:top w:val="single" w:sz="8" w:space="0" w:color="auto"/>
              <w:left w:val="single" w:sz="12" w:space="0" w:color="auto"/>
              <w:bottom w:val="single" w:sz="4" w:space="0" w:color="auto"/>
              <w:right w:val="single" w:sz="4" w:space="0" w:color="auto"/>
            </w:tcBorders>
            <w:shd w:val="clear" w:color="auto" w:fill="D0CECE" w:themeFill="background2" w:themeFillShade="E6"/>
            <w:noWrap/>
            <w:vAlign w:val="bottom"/>
            <w:hideMark/>
          </w:tcPr>
          <w:p w14:paraId="505C949C" w14:textId="7F839578" w:rsidR="00D126BA" w:rsidRPr="00E33A61" w:rsidRDefault="006538BC" w:rsidP="00B276B7">
            <w:pPr>
              <w:keepNext/>
              <w:spacing w:line="240" w:lineRule="auto"/>
              <w:ind w:firstLine="0"/>
              <w:jc w:val="left"/>
              <w:rPr>
                <w:rFonts w:asciiTheme="minorHAnsi" w:eastAsia="Times New Roman" w:hAnsiTheme="minorHAnsi" w:cs="Times New Roman"/>
                <w:b/>
                <w:bCs/>
                <w:color w:val="000000"/>
                <w:sz w:val="22"/>
              </w:rPr>
            </w:pPr>
            <w:r w:rsidRPr="00E33A61">
              <w:rPr>
                <w:rFonts w:asciiTheme="minorHAnsi" w:eastAsia="Times New Roman" w:hAnsiTheme="minorHAnsi" w:cs="ＭＳ ゴシック"/>
                <w:b/>
                <w:bCs/>
                <w:color w:val="000000"/>
                <w:sz w:val="22"/>
              </w:rPr>
              <w:t>Vydané texty</w:t>
            </w:r>
          </w:p>
        </w:tc>
        <w:tc>
          <w:tcPr>
            <w:tcW w:w="960" w:type="dxa"/>
            <w:tcBorders>
              <w:top w:val="single" w:sz="8" w:space="0" w:color="auto"/>
              <w:left w:val="nil"/>
              <w:bottom w:val="single" w:sz="4" w:space="0" w:color="auto"/>
              <w:right w:val="single" w:sz="4" w:space="0" w:color="auto"/>
            </w:tcBorders>
            <w:shd w:val="clear" w:color="auto" w:fill="D0CECE" w:themeFill="background2" w:themeFillShade="E6"/>
            <w:noWrap/>
            <w:vAlign w:val="bottom"/>
            <w:hideMark/>
          </w:tcPr>
          <w:p w14:paraId="0ABE17FD" w14:textId="77777777" w:rsidR="00D126BA" w:rsidRPr="00D126BA" w:rsidRDefault="00D126BA" w:rsidP="009450E2">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20,69%</w:t>
            </w:r>
          </w:p>
        </w:tc>
        <w:tc>
          <w:tcPr>
            <w:tcW w:w="960" w:type="dxa"/>
            <w:tcBorders>
              <w:top w:val="single" w:sz="8" w:space="0" w:color="auto"/>
              <w:left w:val="nil"/>
              <w:bottom w:val="single" w:sz="4" w:space="0" w:color="auto"/>
              <w:right w:val="single" w:sz="4" w:space="0" w:color="auto"/>
            </w:tcBorders>
            <w:shd w:val="clear" w:color="auto" w:fill="D0CECE" w:themeFill="background2" w:themeFillShade="E6"/>
            <w:noWrap/>
            <w:vAlign w:val="bottom"/>
            <w:hideMark/>
          </w:tcPr>
          <w:p w14:paraId="39AB0D4B" w14:textId="77777777" w:rsidR="00D126BA" w:rsidRPr="00D126BA" w:rsidRDefault="00D126BA" w:rsidP="009450E2">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32,33%</w:t>
            </w:r>
          </w:p>
        </w:tc>
        <w:tc>
          <w:tcPr>
            <w:tcW w:w="960" w:type="dxa"/>
            <w:tcBorders>
              <w:top w:val="single" w:sz="8" w:space="0" w:color="auto"/>
              <w:left w:val="nil"/>
              <w:bottom w:val="single" w:sz="4" w:space="0" w:color="auto"/>
              <w:right w:val="single" w:sz="4" w:space="0" w:color="auto"/>
            </w:tcBorders>
            <w:shd w:val="clear" w:color="auto" w:fill="D0CECE" w:themeFill="background2" w:themeFillShade="E6"/>
            <w:noWrap/>
            <w:vAlign w:val="bottom"/>
            <w:hideMark/>
          </w:tcPr>
          <w:p w14:paraId="7229BB8D" w14:textId="77777777" w:rsidR="00D126BA" w:rsidRPr="00D126BA" w:rsidRDefault="00D126BA" w:rsidP="009450E2">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36,31%</w:t>
            </w:r>
          </w:p>
        </w:tc>
        <w:tc>
          <w:tcPr>
            <w:tcW w:w="960" w:type="dxa"/>
            <w:tcBorders>
              <w:top w:val="single" w:sz="8" w:space="0" w:color="auto"/>
              <w:left w:val="nil"/>
              <w:bottom w:val="single" w:sz="4" w:space="0" w:color="auto"/>
              <w:right w:val="single" w:sz="12" w:space="0" w:color="auto"/>
            </w:tcBorders>
            <w:shd w:val="clear" w:color="auto" w:fill="D0CECE" w:themeFill="background2" w:themeFillShade="E6"/>
            <w:noWrap/>
            <w:vAlign w:val="bottom"/>
            <w:hideMark/>
          </w:tcPr>
          <w:p w14:paraId="460D1119" w14:textId="77777777" w:rsidR="00D126BA" w:rsidRPr="00D126BA" w:rsidRDefault="00D126BA" w:rsidP="009450E2">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32,59%</w:t>
            </w:r>
          </w:p>
        </w:tc>
      </w:tr>
      <w:tr w:rsidR="00D126BA" w:rsidRPr="00D126BA" w14:paraId="7D62EC64"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3E03A479" w14:textId="5022D896" w:rsidR="00D126BA" w:rsidRPr="00E33A61" w:rsidRDefault="006538BC" w:rsidP="00E33A61">
            <w:pPr>
              <w:keepNext/>
              <w:spacing w:line="240" w:lineRule="auto"/>
              <w:ind w:firstLine="0"/>
              <w:jc w:val="left"/>
              <w:rPr>
                <w:rFonts w:asciiTheme="minorHAnsi" w:eastAsia="Times New Roman" w:hAnsiTheme="minorHAnsi" w:cs="Times New Roman"/>
                <w:color w:val="000000"/>
                <w:sz w:val="22"/>
              </w:rPr>
            </w:pPr>
            <w:r w:rsidRPr="00E33A61">
              <w:rPr>
                <w:rFonts w:asciiTheme="minorHAnsi" w:eastAsia="Times New Roman" w:hAnsiTheme="minorHAnsi" w:cs="ＭＳ ゴシック"/>
                <w:color w:val="000000"/>
                <w:sz w:val="22"/>
              </w:rPr>
              <w:t>Vydané texty</w:t>
            </w:r>
            <w:r w:rsidR="00E33A61">
              <w:rPr>
                <w:rFonts w:asciiTheme="minorHAnsi" w:eastAsia="Times New Roman" w:hAnsiTheme="minorHAnsi" w:cs="ＭＳ ゴシック"/>
                <w:color w:val="000000"/>
                <w:sz w:val="22"/>
              </w:rPr>
              <w:t xml:space="preserve"> - </w:t>
            </w:r>
            <w:r w:rsidR="00E33A61" w:rsidRPr="00E33A61">
              <w:rPr>
                <w:rFonts w:asciiTheme="minorHAnsi" w:eastAsia="Times New Roman" w:hAnsiTheme="minorHAnsi" w:cs="ＭＳ ゴシック"/>
                <w:color w:val="000000"/>
                <w:sz w:val="22"/>
              </w:rPr>
              <w:t>noviny</w:t>
            </w:r>
          </w:p>
        </w:tc>
        <w:tc>
          <w:tcPr>
            <w:tcW w:w="960" w:type="dxa"/>
            <w:tcBorders>
              <w:top w:val="nil"/>
              <w:left w:val="nil"/>
              <w:bottom w:val="single" w:sz="4" w:space="0" w:color="auto"/>
              <w:right w:val="single" w:sz="4" w:space="0" w:color="auto"/>
            </w:tcBorders>
            <w:shd w:val="clear" w:color="auto" w:fill="auto"/>
            <w:noWrap/>
            <w:vAlign w:val="bottom"/>
            <w:hideMark/>
          </w:tcPr>
          <w:p w14:paraId="2CC987B5"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A67E4C0"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3,66%</w:t>
            </w:r>
          </w:p>
        </w:tc>
        <w:tc>
          <w:tcPr>
            <w:tcW w:w="960" w:type="dxa"/>
            <w:tcBorders>
              <w:top w:val="nil"/>
              <w:left w:val="nil"/>
              <w:bottom w:val="single" w:sz="4" w:space="0" w:color="auto"/>
              <w:right w:val="single" w:sz="4" w:space="0" w:color="auto"/>
            </w:tcBorders>
            <w:shd w:val="clear" w:color="auto" w:fill="auto"/>
            <w:noWrap/>
            <w:vAlign w:val="bottom"/>
            <w:hideMark/>
          </w:tcPr>
          <w:p w14:paraId="0EBF63DB"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1,68%</w:t>
            </w:r>
          </w:p>
        </w:tc>
        <w:tc>
          <w:tcPr>
            <w:tcW w:w="960" w:type="dxa"/>
            <w:tcBorders>
              <w:top w:val="nil"/>
              <w:left w:val="nil"/>
              <w:bottom w:val="single" w:sz="4" w:space="0" w:color="auto"/>
              <w:right w:val="single" w:sz="12" w:space="0" w:color="auto"/>
            </w:tcBorders>
            <w:shd w:val="clear" w:color="auto" w:fill="auto"/>
            <w:noWrap/>
            <w:vAlign w:val="bottom"/>
            <w:hideMark/>
          </w:tcPr>
          <w:p w14:paraId="5F6694AF"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3,49%</w:t>
            </w:r>
          </w:p>
        </w:tc>
      </w:tr>
      <w:tr w:rsidR="00D126BA" w:rsidRPr="00D126BA" w14:paraId="47860B95"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5713AAF8" w14:textId="444DD783" w:rsidR="00D126BA" w:rsidRPr="00E33A61" w:rsidRDefault="00E33A61" w:rsidP="00E33A61">
            <w:pPr>
              <w:keepNext/>
              <w:spacing w:line="240" w:lineRule="auto"/>
              <w:ind w:firstLine="0"/>
              <w:jc w:val="left"/>
              <w:rPr>
                <w:rFonts w:asciiTheme="minorHAnsi" w:eastAsia="Times New Roman" w:hAnsiTheme="minorHAnsi" w:cs="Times New Roman"/>
                <w:color w:val="000000"/>
                <w:sz w:val="22"/>
              </w:rPr>
            </w:pPr>
            <w:r w:rsidRPr="00E33A61">
              <w:rPr>
                <w:rFonts w:asciiTheme="minorHAnsi" w:eastAsia="Times New Roman" w:hAnsiTheme="minorHAnsi" w:cs="ＭＳ ゴシック"/>
                <w:color w:val="000000"/>
                <w:sz w:val="22"/>
              </w:rPr>
              <w:t>Vydané texty</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knihy</w:t>
            </w:r>
          </w:p>
        </w:tc>
        <w:tc>
          <w:tcPr>
            <w:tcW w:w="960" w:type="dxa"/>
            <w:tcBorders>
              <w:top w:val="nil"/>
              <w:left w:val="nil"/>
              <w:bottom w:val="single" w:sz="4" w:space="0" w:color="auto"/>
              <w:right w:val="single" w:sz="4" w:space="0" w:color="auto"/>
            </w:tcBorders>
            <w:shd w:val="clear" w:color="auto" w:fill="auto"/>
            <w:noWrap/>
            <w:vAlign w:val="bottom"/>
            <w:hideMark/>
          </w:tcPr>
          <w:p w14:paraId="2892C2A3"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77,78%</w:t>
            </w:r>
          </w:p>
        </w:tc>
        <w:tc>
          <w:tcPr>
            <w:tcW w:w="960" w:type="dxa"/>
            <w:tcBorders>
              <w:top w:val="nil"/>
              <w:left w:val="nil"/>
              <w:bottom w:val="single" w:sz="4" w:space="0" w:color="auto"/>
              <w:right w:val="single" w:sz="4" w:space="0" w:color="auto"/>
            </w:tcBorders>
            <w:shd w:val="clear" w:color="auto" w:fill="auto"/>
            <w:noWrap/>
            <w:vAlign w:val="bottom"/>
            <w:hideMark/>
          </w:tcPr>
          <w:p w14:paraId="2141B930"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86,78%</w:t>
            </w:r>
          </w:p>
        </w:tc>
        <w:tc>
          <w:tcPr>
            <w:tcW w:w="960" w:type="dxa"/>
            <w:tcBorders>
              <w:top w:val="nil"/>
              <w:left w:val="nil"/>
              <w:bottom w:val="single" w:sz="4" w:space="0" w:color="auto"/>
              <w:right w:val="single" w:sz="4" w:space="0" w:color="auto"/>
            </w:tcBorders>
            <w:shd w:val="clear" w:color="auto" w:fill="auto"/>
            <w:noWrap/>
            <w:vAlign w:val="bottom"/>
            <w:hideMark/>
          </w:tcPr>
          <w:p w14:paraId="716A3556"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92,39%</w:t>
            </w:r>
          </w:p>
        </w:tc>
        <w:tc>
          <w:tcPr>
            <w:tcW w:w="960" w:type="dxa"/>
            <w:tcBorders>
              <w:top w:val="nil"/>
              <w:left w:val="nil"/>
              <w:bottom w:val="single" w:sz="4" w:space="0" w:color="auto"/>
              <w:right w:val="single" w:sz="12" w:space="0" w:color="auto"/>
            </w:tcBorders>
            <w:shd w:val="clear" w:color="auto" w:fill="auto"/>
            <w:noWrap/>
            <w:vAlign w:val="bottom"/>
            <w:hideMark/>
          </w:tcPr>
          <w:p w14:paraId="128D0859"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87,23%</w:t>
            </w:r>
          </w:p>
        </w:tc>
      </w:tr>
      <w:tr w:rsidR="00D126BA" w:rsidRPr="00D126BA" w14:paraId="78195ACB" w14:textId="77777777" w:rsidTr="00B276B7">
        <w:trPr>
          <w:cantSplit/>
          <w:trHeight w:val="315"/>
        </w:trPr>
        <w:tc>
          <w:tcPr>
            <w:tcW w:w="2800" w:type="dxa"/>
            <w:tcBorders>
              <w:top w:val="nil"/>
              <w:left w:val="single" w:sz="12" w:space="0" w:color="auto"/>
              <w:bottom w:val="single" w:sz="8" w:space="0" w:color="auto"/>
              <w:right w:val="single" w:sz="4" w:space="0" w:color="auto"/>
            </w:tcBorders>
            <w:shd w:val="clear" w:color="auto" w:fill="auto"/>
            <w:noWrap/>
            <w:vAlign w:val="bottom"/>
            <w:hideMark/>
          </w:tcPr>
          <w:p w14:paraId="7C773761" w14:textId="47A926CB" w:rsidR="00D126BA" w:rsidRPr="00E33A61" w:rsidRDefault="00E33A61" w:rsidP="00E33A61">
            <w:pPr>
              <w:keepNext/>
              <w:spacing w:line="240" w:lineRule="auto"/>
              <w:ind w:firstLine="0"/>
              <w:jc w:val="left"/>
              <w:rPr>
                <w:rFonts w:asciiTheme="minorHAnsi" w:eastAsia="Times New Roman" w:hAnsiTheme="minorHAnsi" w:cs="Times New Roman"/>
                <w:color w:val="000000"/>
                <w:sz w:val="22"/>
              </w:rPr>
            </w:pPr>
            <w:r w:rsidRPr="00E33A61">
              <w:rPr>
                <w:rFonts w:asciiTheme="minorHAnsi" w:eastAsia="Times New Roman" w:hAnsiTheme="minorHAnsi" w:cs="ＭＳ ゴシック"/>
                <w:color w:val="000000"/>
                <w:sz w:val="22"/>
              </w:rPr>
              <w:t>Vydané texty</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časopisy</w:t>
            </w:r>
          </w:p>
        </w:tc>
        <w:tc>
          <w:tcPr>
            <w:tcW w:w="960" w:type="dxa"/>
            <w:tcBorders>
              <w:top w:val="nil"/>
              <w:left w:val="nil"/>
              <w:bottom w:val="single" w:sz="8" w:space="0" w:color="auto"/>
              <w:right w:val="single" w:sz="4" w:space="0" w:color="auto"/>
            </w:tcBorders>
            <w:shd w:val="clear" w:color="auto" w:fill="auto"/>
            <w:noWrap/>
            <w:vAlign w:val="bottom"/>
            <w:hideMark/>
          </w:tcPr>
          <w:p w14:paraId="049485CB"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22,22%</w:t>
            </w:r>
          </w:p>
        </w:tc>
        <w:tc>
          <w:tcPr>
            <w:tcW w:w="960" w:type="dxa"/>
            <w:tcBorders>
              <w:top w:val="nil"/>
              <w:left w:val="nil"/>
              <w:bottom w:val="single" w:sz="8" w:space="0" w:color="auto"/>
              <w:right w:val="single" w:sz="4" w:space="0" w:color="auto"/>
            </w:tcBorders>
            <w:shd w:val="clear" w:color="auto" w:fill="auto"/>
            <w:noWrap/>
            <w:vAlign w:val="bottom"/>
            <w:hideMark/>
          </w:tcPr>
          <w:p w14:paraId="50DD7278"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9,56%</w:t>
            </w:r>
          </w:p>
        </w:tc>
        <w:tc>
          <w:tcPr>
            <w:tcW w:w="960" w:type="dxa"/>
            <w:tcBorders>
              <w:top w:val="nil"/>
              <w:left w:val="nil"/>
              <w:bottom w:val="single" w:sz="8" w:space="0" w:color="auto"/>
              <w:right w:val="single" w:sz="4" w:space="0" w:color="auto"/>
            </w:tcBorders>
            <w:shd w:val="clear" w:color="auto" w:fill="auto"/>
            <w:noWrap/>
            <w:vAlign w:val="bottom"/>
            <w:hideMark/>
          </w:tcPr>
          <w:p w14:paraId="5A7D487F"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5,93%</w:t>
            </w:r>
          </w:p>
        </w:tc>
        <w:tc>
          <w:tcPr>
            <w:tcW w:w="960" w:type="dxa"/>
            <w:tcBorders>
              <w:top w:val="nil"/>
              <w:left w:val="nil"/>
              <w:bottom w:val="single" w:sz="8" w:space="0" w:color="auto"/>
              <w:right w:val="single" w:sz="12" w:space="0" w:color="auto"/>
            </w:tcBorders>
            <w:shd w:val="clear" w:color="auto" w:fill="auto"/>
            <w:noWrap/>
            <w:vAlign w:val="bottom"/>
            <w:hideMark/>
          </w:tcPr>
          <w:p w14:paraId="1353275A"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9,28%</w:t>
            </w:r>
          </w:p>
        </w:tc>
      </w:tr>
      <w:tr w:rsidR="00D126BA" w:rsidRPr="00D126BA" w14:paraId="10C21658" w14:textId="77777777" w:rsidTr="00B276B7">
        <w:trPr>
          <w:cantSplit/>
          <w:trHeight w:val="315"/>
        </w:trPr>
        <w:tc>
          <w:tcPr>
            <w:tcW w:w="2800" w:type="dxa"/>
            <w:tcBorders>
              <w:top w:val="nil"/>
              <w:left w:val="single" w:sz="12" w:space="0" w:color="auto"/>
              <w:bottom w:val="nil"/>
              <w:right w:val="single" w:sz="4" w:space="0" w:color="auto"/>
            </w:tcBorders>
            <w:shd w:val="clear" w:color="auto" w:fill="D0CECE" w:themeFill="background2" w:themeFillShade="E6"/>
            <w:noWrap/>
            <w:vAlign w:val="bottom"/>
            <w:hideMark/>
          </w:tcPr>
          <w:p w14:paraId="7FBD194D" w14:textId="5B0BE662" w:rsidR="00D126BA" w:rsidRPr="00E33A61" w:rsidRDefault="00E33A61" w:rsidP="00CA0FCB">
            <w:pPr>
              <w:keepNext/>
              <w:spacing w:line="240" w:lineRule="auto"/>
              <w:ind w:firstLine="0"/>
              <w:jc w:val="left"/>
              <w:rPr>
                <w:rFonts w:asciiTheme="minorHAnsi" w:eastAsia="Times New Roman" w:hAnsiTheme="minorHAnsi" w:cs="Times New Roman"/>
                <w:b/>
                <w:bCs/>
                <w:color w:val="000000"/>
                <w:sz w:val="22"/>
              </w:rPr>
            </w:pPr>
            <w:r w:rsidRPr="00E33A61">
              <w:rPr>
                <w:rFonts w:asciiTheme="minorHAnsi" w:eastAsia="Times New Roman" w:hAnsiTheme="minorHAnsi" w:cs="ＭＳ ゴシック"/>
                <w:b/>
                <w:bCs/>
                <w:color w:val="000000"/>
                <w:sz w:val="22"/>
              </w:rPr>
              <w:t xml:space="preserve">Knihy v </w:t>
            </w:r>
            <w:r w:rsidR="00CA0FCB">
              <w:rPr>
                <w:rFonts w:asciiTheme="minorHAnsi" w:eastAsia="Times New Roman" w:hAnsiTheme="minorHAnsi" w:cs="ＭＳ ゴシック"/>
                <w:b/>
                <w:bCs/>
                <w:color w:val="000000"/>
                <w:sz w:val="22"/>
              </w:rPr>
              <w:t>knihovnách</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4808D0C" w14:textId="77777777" w:rsidR="00D126BA" w:rsidRPr="00D126BA" w:rsidRDefault="00D126BA" w:rsidP="009450E2">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4,60%</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22AFB265" w14:textId="77777777" w:rsidR="00D126BA" w:rsidRPr="00D126BA" w:rsidRDefault="00D126BA" w:rsidP="009450E2">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33,39%</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495B8689" w14:textId="77777777" w:rsidR="00D126BA" w:rsidRPr="00D126BA" w:rsidRDefault="00D126BA" w:rsidP="009450E2">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34,48%</w:t>
            </w:r>
          </w:p>
        </w:tc>
        <w:tc>
          <w:tcPr>
            <w:tcW w:w="960" w:type="dxa"/>
            <w:tcBorders>
              <w:top w:val="nil"/>
              <w:left w:val="nil"/>
              <w:bottom w:val="nil"/>
              <w:right w:val="single" w:sz="12" w:space="0" w:color="auto"/>
            </w:tcBorders>
            <w:shd w:val="clear" w:color="auto" w:fill="D0CECE" w:themeFill="background2" w:themeFillShade="E6"/>
            <w:noWrap/>
            <w:vAlign w:val="bottom"/>
            <w:hideMark/>
          </w:tcPr>
          <w:p w14:paraId="5745184D" w14:textId="77777777" w:rsidR="00D126BA" w:rsidRPr="00D126BA" w:rsidRDefault="00D126BA" w:rsidP="009450E2">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33,40%</w:t>
            </w:r>
          </w:p>
        </w:tc>
      </w:tr>
      <w:tr w:rsidR="00D126BA" w:rsidRPr="00D126BA" w14:paraId="3EBE728A" w14:textId="77777777" w:rsidTr="00B276B7">
        <w:trPr>
          <w:cantSplit/>
          <w:trHeight w:val="300"/>
        </w:trPr>
        <w:tc>
          <w:tcPr>
            <w:tcW w:w="2800" w:type="dxa"/>
            <w:tcBorders>
              <w:top w:val="single" w:sz="8" w:space="0" w:color="auto"/>
              <w:left w:val="single" w:sz="12" w:space="0" w:color="auto"/>
              <w:bottom w:val="single" w:sz="4" w:space="0" w:color="auto"/>
              <w:right w:val="single" w:sz="4" w:space="0" w:color="auto"/>
            </w:tcBorders>
            <w:shd w:val="clear" w:color="auto" w:fill="D0CECE" w:themeFill="background2" w:themeFillShade="E6"/>
            <w:noWrap/>
            <w:vAlign w:val="bottom"/>
            <w:hideMark/>
          </w:tcPr>
          <w:p w14:paraId="00DFF5AE" w14:textId="0B752A82" w:rsidR="00D126BA" w:rsidRPr="00E33A61" w:rsidRDefault="00E33A61" w:rsidP="00B276B7">
            <w:pPr>
              <w:keepNext/>
              <w:spacing w:line="240" w:lineRule="auto"/>
              <w:ind w:firstLine="0"/>
              <w:jc w:val="left"/>
              <w:rPr>
                <w:rFonts w:asciiTheme="minorHAnsi" w:eastAsia="Times New Roman" w:hAnsiTheme="minorHAnsi" w:cs="Times New Roman"/>
                <w:b/>
                <w:bCs/>
                <w:color w:val="000000"/>
                <w:sz w:val="22"/>
              </w:rPr>
            </w:pPr>
            <w:r w:rsidRPr="00E33A61">
              <w:rPr>
                <w:rFonts w:asciiTheme="minorHAnsi" w:eastAsia="Times New Roman" w:hAnsiTheme="minorHAnsi" w:cs="ＭＳ ゴシック"/>
                <w:b/>
                <w:bCs/>
                <w:color w:val="000000"/>
                <w:sz w:val="22"/>
              </w:rPr>
              <w:t>Ostatní</w:t>
            </w:r>
            <w:r w:rsidR="00A031AA">
              <w:rPr>
                <w:rFonts w:asciiTheme="minorHAnsi" w:eastAsia="Times New Roman" w:hAnsiTheme="minorHAnsi" w:cs="ＭＳ ゴシック"/>
                <w:b/>
                <w:bCs/>
                <w:color w:val="000000"/>
                <w:sz w:val="22"/>
              </w:rPr>
              <w:t xml:space="preserve"> texty</w:t>
            </w:r>
          </w:p>
        </w:tc>
        <w:tc>
          <w:tcPr>
            <w:tcW w:w="960" w:type="dxa"/>
            <w:tcBorders>
              <w:top w:val="single" w:sz="8" w:space="0" w:color="auto"/>
              <w:left w:val="nil"/>
              <w:bottom w:val="single" w:sz="4" w:space="0" w:color="auto"/>
              <w:right w:val="single" w:sz="4" w:space="0" w:color="auto"/>
            </w:tcBorders>
            <w:shd w:val="clear" w:color="auto" w:fill="D0CECE" w:themeFill="background2" w:themeFillShade="E6"/>
            <w:noWrap/>
            <w:vAlign w:val="bottom"/>
            <w:hideMark/>
          </w:tcPr>
          <w:p w14:paraId="2AE0C12B" w14:textId="77777777" w:rsidR="00D126BA" w:rsidRPr="00D126BA" w:rsidRDefault="00D126BA" w:rsidP="009450E2">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74,71%</w:t>
            </w:r>
          </w:p>
        </w:tc>
        <w:tc>
          <w:tcPr>
            <w:tcW w:w="960" w:type="dxa"/>
            <w:tcBorders>
              <w:top w:val="single" w:sz="8" w:space="0" w:color="auto"/>
              <w:left w:val="nil"/>
              <w:bottom w:val="single" w:sz="4" w:space="0" w:color="auto"/>
              <w:right w:val="single" w:sz="4" w:space="0" w:color="auto"/>
            </w:tcBorders>
            <w:shd w:val="clear" w:color="auto" w:fill="D0CECE" w:themeFill="background2" w:themeFillShade="E6"/>
            <w:noWrap/>
            <w:vAlign w:val="bottom"/>
            <w:hideMark/>
          </w:tcPr>
          <w:p w14:paraId="0B5F67DE" w14:textId="77777777" w:rsidR="00D126BA" w:rsidRPr="00D126BA" w:rsidRDefault="00D126BA" w:rsidP="009450E2">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34,28%</w:t>
            </w:r>
          </w:p>
        </w:tc>
        <w:tc>
          <w:tcPr>
            <w:tcW w:w="960" w:type="dxa"/>
            <w:tcBorders>
              <w:top w:val="single" w:sz="8" w:space="0" w:color="auto"/>
              <w:left w:val="nil"/>
              <w:bottom w:val="single" w:sz="4" w:space="0" w:color="auto"/>
              <w:right w:val="single" w:sz="4" w:space="0" w:color="auto"/>
            </w:tcBorders>
            <w:shd w:val="clear" w:color="auto" w:fill="D0CECE" w:themeFill="background2" w:themeFillShade="E6"/>
            <w:noWrap/>
            <w:vAlign w:val="bottom"/>
            <w:hideMark/>
          </w:tcPr>
          <w:p w14:paraId="66205513" w14:textId="77777777" w:rsidR="00D126BA" w:rsidRPr="00D126BA" w:rsidRDefault="00D126BA" w:rsidP="009450E2">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29,20%</w:t>
            </w:r>
          </w:p>
        </w:tc>
        <w:tc>
          <w:tcPr>
            <w:tcW w:w="960" w:type="dxa"/>
            <w:tcBorders>
              <w:top w:val="single" w:sz="8" w:space="0" w:color="auto"/>
              <w:left w:val="nil"/>
              <w:bottom w:val="single" w:sz="4" w:space="0" w:color="auto"/>
              <w:right w:val="single" w:sz="12" w:space="0" w:color="auto"/>
            </w:tcBorders>
            <w:shd w:val="clear" w:color="auto" w:fill="D0CECE" w:themeFill="background2" w:themeFillShade="E6"/>
            <w:noWrap/>
            <w:vAlign w:val="bottom"/>
            <w:hideMark/>
          </w:tcPr>
          <w:p w14:paraId="016C9C8D" w14:textId="77777777" w:rsidR="00D126BA" w:rsidRPr="00D126BA" w:rsidRDefault="00D126BA" w:rsidP="009450E2">
            <w:pPr>
              <w:keepNext/>
              <w:spacing w:line="240" w:lineRule="auto"/>
              <w:ind w:firstLine="0"/>
              <w:jc w:val="center"/>
              <w:rPr>
                <w:rFonts w:ascii="Calibri" w:eastAsia="Times New Roman" w:hAnsi="Calibri" w:cs="Times New Roman"/>
                <w:b/>
                <w:bCs/>
                <w:color w:val="000000"/>
                <w:sz w:val="22"/>
              </w:rPr>
            </w:pPr>
            <w:r w:rsidRPr="00D126BA">
              <w:rPr>
                <w:rFonts w:ascii="Calibri" w:eastAsia="Times New Roman" w:hAnsi="Calibri" w:cs="Times New Roman"/>
                <w:b/>
                <w:bCs/>
                <w:color w:val="000000"/>
                <w:sz w:val="22"/>
              </w:rPr>
              <w:t>34,01%</w:t>
            </w:r>
          </w:p>
        </w:tc>
      </w:tr>
      <w:tr w:rsidR="00D126BA" w:rsidRPr="00D126BA" w14:paraId="2DCFC3DD"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2B3CDD25" w14:textId="625B512A" w:rsidR="00D126BA" w:rsidRPr="00E33A61" w:rsidRDefault="00E33A61" w:rsidP="00E33A61">
            <w:pPr>
              <w:keepNext/>
              <w:spacing w:line="240" w:lineRule="auto"/>
              <w:ind w:firstLine="0"/>
              <w:jc w:val="left"/>
              <w:rPr>
                <w:rFonts w:asciiTheme="minorHAnsi" w:eastAsia="Times New Roman" w:hAnsiTheme="minorHAns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blogy</w:t>
            </w:r>
          </w:p>
        </w:tc>
        <w:tc>
          <w:tcPr>
            <w:tcW w:w="960" w:type="dxa"/>
            <w:tcBorders>
              <w:top w:val="nil"/>
              <w:left w:val="nil"/>
              <w:bottom w:val="single" w:sz="4" w:space="0" w:color="auto"/>
              <w:right w:val="single" w:sz="4" w:space="0" w:color="auto"/>
            </w:tcBorders>
            <w:shd w:val="clear" w:color="auto" w:fill="auto"/>
            <w:noWrap/>
            <w:vAlign w:val="bottom"/>
            <w:hideMark/>
          </w:tcPr>
          <w:p w14:paraId="58FC9E8B"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76,92%</w:t>
            </w:r>
          </w:p>
        </w:tc>
        <w:tc>
          <w:tcPr>
            <w:tcW w:w="960" w:type="dxa"/>
            <w:tcBorders>
              <w:top w:val="nil"/>
              <w:left w:val="nil"/>
              <w:bottom w:val="single" w:sz="4" w:space="0" w:color="auto"/>
              <w:right w:val="single" w:sz="4" w:space="0" w:color="auto"/>
            </w:tcBorders>
            <w:shd w:val="clear" w:color="auto" w:fill="auto"/>
            <w:noWrap/>
            <w:vAlign w:val="bottom"/>
            <w:hideMark/>
          </w:tcPr>
          <w:p w14:paraId="6E5B2CFC"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17,48%</w:t>
            </w:r>
          </w:p>
        </w:tc>
        <w:tc>
          <w:tcPr>
            <w:tcW w:w="960" w:type="dxa"/>
            <w:tcBorders>
              <w:top w:val="nil"/>
              <w:left w:val="nil"/>
              <w:bottom w:val="single" w:sz="4" w:space="0" w:color="auto"/>
              <w:right w:val="single" w:sz="4" w:space="0" w:color="auto"/>
            </w:tcBorders>
            <w:shd w:val="clear" w:color="auto" w:fill="auto"/>
            <w:noWrap/>
            <w:vAlign w:val="bottom"/>
            <w:hideMark/>
          </w:tcPr>
          <w:p w14:paraId="3AD9AE5E"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35,33%</w:t>
            </w:r>
          </w:p>
        </w:tc>
        <w:tc>
          <w:tcPr>
            <w:tcW w:w="960" w:type="dxa"/>
            <w:tcBorders>
              <w:top w:val="nil"/>
              <w:left w:val="nil"/>
              <w:bottom w:val="single" w:sz="4" w:space="0" w:color="auto"/>
              <w:right w:val="single" w:sz="12" w:space="0" w:color="auto"/>
            </w:tcBorders>
            <w:shd w:val="clear" w:color="auto" w:fill="auto"/>
            <w:noWrap/>
            <w:vAlign w:val="bottom"/>
            <w:hideMark/>
          </w:tcPr>
          <w:p w14:paraId="4C031880"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18,96%</w:t>
            </w:r>
          </w:p>
        </w:tc>
      </w:tr>
      <w:tr w:rsidR="00D126BA" w:rsidRPr="00D126BA" w14:paraId="4B65C800"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1699B534" w14:textId="613E1E7C" w:rsidR="00D126BA" w:rsidRPr="00E33A61" w:rsidRDefault="00E33A61" w:rsidP="00E33A61">
            <w:pPr>
              <w:keepNext/>
              <w:spacing w:line="240" w:lineRule="auto"/>
              <w:ind w:firstLine="0"/>
              <w:jc w:val="left"/>
              <w:rPr>
                <w:rFonts w:asciiTheme="minorHAnsi" w:eastAsia="Times New Roman" w:hAnsiTheme="minorHAns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bestselery</w:t>
            </w:r>
          </w:p>
        </w:tc>
        <w:tc>
          <w:tcPr>
            <w:tcW w:w="960" w:type="dxa"/>
            <w:tcBorders>
              <w:top w:val="nil"/>
              <w:left w:val="nil"/>
              <w:bottom w:val="single" w:sz="4" w:space="0" w:color="auto"/>
              <w:right w:val="single" w:sz="4" w:space="0" w:color="auto"/>
            </w:tcBorders>
            <w:shd w:val="clear" w:color="auto" w:fill="auto"/>
            <w:noWrap/>
            <w:vAlign w:val="bottom"/>
            <w:hideMark/>
          </w:tcPr>
          <w:p w14:paraId="21C93D0C"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3,08%</w:t>
            </w:r>
          </w:p>
        </w:tc>
        <w:tc>
          <w:tcPr>
            <w:tcW w:w="960" w:type="dxa"/>
            <w:tcBorders>
              <w:top w:val="nil"/>
              <w:left w:val="nil"/>
              <w:bottom w:val="single" w:sz="4" w:space="0" w:color="auto"/>
              <w:right w:val="single" w:sz="4" w:space="0" w:color="auto"/>
            </w:tcBorders>
            <w:shd w:val="clear" w:color="auto" w:fill="auto"/>
            <w:noWrap/>
            <w:vAlign w:val="bottom"/>
            <w:hideMark/>
          </w:tcPr>
          <w:p w14:paraId="4037AED4"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12,84%</w:t>
            </w:r>
          </w:p>
        </w:tc>
        <w:tc>
          <w:tcPr>
            <w:tcW w:w="960" w:type="dxa"/>
            <w:tcBorders>
              <w:top w:val="nil"/>
              <w:left w:val="nil"/>
              <w:bottom w:val="single" w:sz="4" w:space="0" w:color="auto"/>
              <w:right w:val="single" w:sz="4" w:space="0" w:color="auto"/>
            </w:tcBorders>
            <w:shd w:val="clear" w:color="auto" w:fill="auto"/>
            <w:noWrap/>
            <w:vAlign w:val="bottom"/>
            <w:hideMark/>
          </w:tcPr>
          <w:p w14:paraId="333AE112"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18,22%</w:t>
            </w:r>
          </w:p>
        </w:tc>
        <w:tc>
          <w:tcPr>
            <w:tcW w:w="960" w:type="dxa"/>
            <w:tcBorders>
              <w:top w:val="nil"/>
              <w:left w:val="nil"/>
              <w:bottom w:val="single" w:sz="4" w:space="0" w:color="auto"/>
              <w:right w:val="single" w:sz="12" w:space="0" w:color="auto"/>
            </w:tcBorders>
            <w:shd w:val="clear" w:color="auto" w:fill="auto"/>
            <w:noWrap/>
            <w:vAlign w:val="bottom"/>
            <w:hideMark/>
          </w:tcPr>
          <w:p w14:paraId="74D93226"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13,12%</w:t>
            </w:r>
          </w:p>
        </w:tc>
      </w:tr>
      <w:tr w:rsidR="00D126BA" w:rsidRPr="00D126BA" w14:paraId="51ECBB46"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1AB68CEE" w14:textId="3D319C94" w:rsidR="00D126BA" w:rsidRPr="00E33A61" w:rsidRDefault="00E33A61" w:rsidP="00E33A61">
            <w:pPr>
              <w:keepNext/>
              <w:spacing w:line="240" w:lineRule="auto"/>
              <w:ind w:firstLine="0"/>
              <w:jc w:val="left"/>
              <w:rPr>
                <w:rFonts w:asciiTheme="minorHAnsi" w:eastAsia="Times New Roman" w:hAnsiTheme="minorHAns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vládní jednání</w:t>
            </w:r>
          </w:p>
        </w:tc>
        <w:tc>
          <w:tcPr>
            <w:tcW w:w="960" w:type="dxa"/>
            <w:tcBorders>
              <w:top w:val="nil"/>
              <w:left w:val="nil"/>
              <w:bottom w:val="single" w:sz="4" w:space="0" w:color="auto"/>
              <w:right w:val="single" w:sz="4" w:space="0" w:color="auto"/>
            </w:tcBorders>
            <w:shd w:val="clear" w:color="auto" w:fill="auto"/>
            <w:noWrap/>
            <w:vAlign w:val="bottom"/>
            <w:hideMark/>
          </w:tcPr>
          <w:p w14:paraId="684953A3"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01A7180"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9,22%</w:t>
            </w:r>
          </w:p>
        </w:tc>
        <w:tc>
          <w:tcPr>
            <w:tcW w:w="960" w:type="dxa"/>
            <w:tcBorders>
              <w:top w:val="nil"/>
              <w:left w:val="nil"/>
              <w:bottom w:val="single" w:sz="4" w:space="0" w:color="auto"/>
              <w:right w:val="single" w:sz="4" w:space="0" w:color="auto"/>
            </w:tcBorders>
            <w:shd w:val="clear" w:color="auto" w:fill="auto"/>
            <w:noWrap/>
            <w:vAlign w:val="bottom"/>
            <w:hideMark/>
          </w:tcPr>
          <w:p w14:paraId="71811ACE"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1,11%</w:t>
            </w:r>
          </w:p>
        </w:tc>
        <w:tc>
          <w:tcPr>
            <w:tcW w:w="960" w:type="dxa"/>
            <w:tcBorders>
              <w:top w:val="nil"/>
              <w:left w:val="nil"/>
              <w:bottom w:val="single" w:sz="4" w:space="0" w:color="auto"/>
              <w:right w:val="single" w:sz="12" w:space="0" w:color="auto"/>
            </w:tcBorders>
            <w:shd w:val="clear" w:color="auto" w:fill="auto"/>
            <w:noWrap/>
            <w:vAlign w:val="bottom"/>
            <w:hideMark/>
          </w:tcPr>
          <w:p w14:paraId="00EE52D7"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8,65%</w:t>
            </w:r>
          </w:p>
        </w:tc>
      </w:tr>
      <w:tr w:rsidR="00D126BA" w:rsidRPr="00D126BA" w14:paraId="42D6921C"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01D95CFA" w14:textId="39325C8D" w:rsidR="00D126BA" w:rsidRPr="00E33A61" w:rsidRDefault="00E33A61" w:rsidP="00E33A61">
            <w:pPr>
              <w:keepNext/>
              <w:spacing w:line="240" w:lineRule="auto"/>
              <w:ind w:firstLine="0"/>
              <w:jc w:val="left"/>
              <w:rPr>
                <w:rFonts w:asciiTheme="minorHAnsi" w:eastAsia="Times New Roman" w:hAnsiTheme="minorHAnsi" w:cs="Times New Roman"/>
                <w:color w:val="000000"/>
                <w:sz w:val="21"/>
                <w:szCs w:val="21"/>
              </w:rPr>
            </w:pPr>
            <w:r w:rsidRPr="00E33A61">
              <w:rPr>
                <w:rFonts w:asciiTheme="minorHAnsi" w:eastAsia="Times New Roman" w:hAnsiTheme="minorHAnsi" w:cs="ＭＳ ゴシック"/>
                <w:bCs/>
                <w:color w:val="000000"/>
                <w:sz w:val="21"/>
                <w:szCs w:val="21"/>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1"/>
                <w:szCs w:val="21"/>
              </w:rPr>
              <w:t>informační bulletiny</w:t>
            </w:r>
          </w:p>
        </w:tc>
        <w:tc>
          <w:tcPr>
            <w:tcW w:w="960" w:type="dxa"/>
            <w:tcBorders>
              <w:top w:val="nil"/>
              <w:left w:val="nil"/>
              <w:bottom w:val="single" w:sz="4" w:space="0" w:color="auto"/>
              <w:right w:val="single" w:sz="4" w:space="0" w:color="auto"/>
            </w:tcBorders>
            <w:shd w:val="clear" w:color="auto" w:fill="auto"/>
            <w:noWrap/>
            <w:vAlign w:val="bottom"/>
            <w:hideMark/>
          </w:tcPr>
          <w:p w14:paraId="0AD09B05"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1,54%</w:t>
            </w:r>
          </w:p>
        </w:tc>
        <w:tc>
          <w:tcPr>
            <w:tcW w:w="960" w:type="dxa"/>
            <w:tcBorders>
              <w:top w:val="nil"/>
              <w:left w:val="nil"/>
              <w:bottom w:val="single" w:sz="4" w:space="0" w:color="auto"/>
              <w:right w:val="single" w:sz="4" w:space="0" w:color="auto"/>
            </w:tcBorders>
            <w:shd w:val="clear" w:color="auto" w:fill="auto"/>
            <w:noWrap/>
            <w:vAlign w:val="bottom"/>
            <w:hideMark/>
          </w:tcPr>
          <w:p w14:paraId="7FD7CB22"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5,41%</w:t>
            </w:r>
          </w:p>
        </w:tc>
        <w:tc>
          <w:tcPr>
            <w:tcW w:w="960" w:type="dxa"/>
            <w:tcBorders>
              <w:top w:val="nil"/>
              <w:left w:val="nil"/>
              <w:bottom w:val="single" w:sz="4" w:space="0" w:color="auto"/>
              <w:right w:val="single" w:sz="4" w:space="0" w:color="auto"/>
            </w:tcBorders>
            <w:shd w:val="clear" w:color="auto" w:fill="auto"/>
            <w:noWrap/>
            <w:vAlign w:val="bottom"/>
            <w:hideMark/>
          </w:tcPr>
          <w:p w14:paraId="1498D0A7"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3,34%</w:t>
            </w:r>
          </w:p>
        </w:tc>
        <w:tc>
          <w:tcPr>
            <w:tcW w:w="960" w:type="dxa"/>
            <w:tcBorders>
              <w:top w:val="nil"/>
              <w:left w:val="nil"/>
              <w:bottom w:val="single" w:sz="4" w:space="0" w:color="auto"/>
              <w:right w:val="single" w:sz="12" w:space="0" w:color="auto"/>
            </w:tcBorders>
            <w:shd w:val="clear" w:color="auto" w:fill="auto"/>
            <w:noWrap/>
            <w:vAlign w:val="bottom"/>
            <w:hideMark/>
          </w:tcPr>
          <w:p w14:paraId="45896438"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5,25%</w:t>
            </w:r>
          </w:p>
        </w:tc>
      </w:tr>
      <w:tr w:rsidR="00D126BA" w:rsidRPr="00D126BA" w14:paraId="74E97E6B"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3CB006E0" w14:textId="3BC3A6A0" w:rsidR="00D126BA" w:rsidRPr="00E33A61" w:rsidRDefault="00E33A61" w:rsidP="00E33A61">
            <w:pPr>
              <w:keepNext/>
              <w:spacing w:line="240" w:lineRule="auto"/>
              <w:ind w:firstLine="0"/>
              <w:jc w:val="left"/>
              <w:rPr>
                <w:rFonts w:asciiTheme="minorHAnsi" w:eastAsia="Times New Roman" w:hAnsiTheme="minorHAns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učebnice</w:t>
            </w:r>
          </w:p>
        </w:tc>
        <w:tc>
          <w:tcPr>
            <w:tcW w:w="960" w:type="dxa"/>
            <w:tcBorders>
              <w:top w:val="nil"/>
              <w:left w:val="nil"/>
              <w:bottom w:val="single" w:sz="4" w:space="0" w:color="auto"/>
              <w:right w:val="single" w:sz="4" w:space="0" w:color="auto"/>
            </w:tcBorders>
            <w:shd w:val="clear" w:color="auto" w:fill="auto"/>
            <w:noWrap/>
            <w:vAlign w:val="bottom"/>
            <w:hideMark/>
          </w:tcPr>
          <w:p w14:paraId="48049CE3"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4037E50"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2,22%</w:t>
            </w:r>
          </w:p>
        </w:tc>
        <w:tc>
          <w:tcPr>
            <w:tcW w:w="960" w:type="dxa"/>
            <w:tcBorders>
              <w:top w:val="nil"/>
              <w:left w:val="nil"/>
              <w:bottom w:val="single" w:sz="4" w:space="0" w:color="auto"/>
              <w:right w:val="single" w:sz="4" w:space="0" w:color="auto"/>
            </w:tcBorders>
            <w:shd w:val="clear" w:color="auto" w:fill="auto"/>
            <w:noWrap/>
            <w:vAlign w:val="bottom"/>
            <w:hideMark/>
          </w:tcPr>
          <w:p w14:paraId="4511B8B3"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1,39%</w:t>
            </w:r>
          </w:p>
        </w:tc>
        <w:tc>
          <w:tcPr>
            <w:tcW w:w="960" w:type="dxa"/>
            <w:tcBorders>
              <w:top w:val="nil"/>
              <w:left w:val="nil"/>
              <w:bottom w:val="single" w:sz="4" w:space="0" w:color="auto"/>
              <w:right w:val="single" w:sz="12" w:space="0" w:color="auto"/>
            </w:tcBorders>
            <w:shd w:val="clear" w:color="auto" w:fill="auto"/>
            <w:noWrap/>
            <w:vAlign w:val="bottom"/>
            <w:hideMark/>
          </w:tcPr>
          <w:p w14:paraId="53E78BC2"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2,15%</w:t>
            </w:r>
          </w:p>
        </w:tc>
      </w:tr>
      <w:tr w:rsidR="00D126BA" w:rsidRPr="00D126BA" w14:paraId="2B3191EA"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3CA3D31F" w14:textId="6239E09D" w:rsidR="00D126BA" w:rsidRPr="00E33A61" w:rsidRDefault="00E33A61" w:rsidP="00E33A61">
            <w:pPr>
              <w:keepNext/>
              <w:spacing w:line="240" w:lineRule="auto"/>
              <w:ind w:firstLine="0"/>
              <w:jc w:val="left"/>
              <w:rPr>
                <w:rFonts w:asciiTheme="minorHAnsi" w:eastAsia="Times New Roman" w:hAnsiTheme="minorHAns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00E77A35">
              <w:rPr>
                <w:rFonts w:asciiTheme="minorHAnsi" w:eastAsia="Times New Roman" w:hAnsiTheme="minorHAnsi" w:cs="ＭＳ ゴシック"/>
                <w:color w:val="000000"/>
                <w:sz w:val="22"/>
              </w:rPr>
              <w:t>zákoníky</w:t>
            </w:r>
          </w:p>
        </w:tc>
        <w:tc>
          <w:tcPr>
            <w:tcW w:w="960" w:type="dxa"/>
            <w:tcBorders>
              <w:top w:val="nil"/>
              <w:left w:val="nil"/>
              <w:bottom w:val="single" w:sz="4" w:space="0" w:color="auto"/>
              <w:right w:val="single" w:sz="4" w:space="0" w:color="auto"/>
            </w:tcBorders>
            <w:shd w:val="clear" w:color="auto" w:fill="auto"/>
            <w:noWrap/>
            <w:vAlign w:val="bottom"/>
            <w:hideMark/>
          </w:tcPr>
          <w:p w14:paraId="73E716AA"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35D5FC3"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6,38%</w:t>
            </w:r>
          </w:p>
        </w:tc>
        <w:tc>
          <w:tcPr>
            <w:tcW w:w="960" w:type="dxa"/>
            <w:tcBorders>
              <w:top w:val="nil"/>
              <w:left w:val="nil"/>
              <w:bottom w:val="single" w:sz="4" w:space="0" w:color="auto"/>
              <w:right w:val="single" w:sz="4" w:space="0" w:color="auto"/>
            </w:tcBorders>
            <w:shd w:val="clear" w:color="auto" w:fill="auto"/>
            <w:noWrap/>
            <w:vAlign w:val="bottom"/>
            <w:hideMark/>
          </w:tcPr>
          <w:p w14:paraId="302F73D0"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0,70%</w:t>
            </w:r>
          </w:p>
        </w:tc>
        <w:tc>
          <w:tcPr>
            <w:tcW w:w="960" w:type="dxa"/>
            <w:tcBorders>
              <w:top w:val="nil"/>
              <w:left w:val="nil"/>
              <w:bottom w:val="single" w:sz="4" w:space="0" w:color="auto"/>
              <w:right w:val="single" w:sz="12" w:space="0" w:color="auto"/>
            </w:tcBorders>
            <w:shd w:val="clear" w:color="auto" w:fill="auto"/>
            <w:noWrap/>
            <w:vAlign w:val="bottom"/>
            <w:hideMark/>
          </w:tcPr>
          <w:p w14:paraId="277AC057"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5,98%</w:t>
            </w:r>
          </w:p>
        </w:tc>
      </w:tr>
      <w:tr w:rsidR="00D126BA" w:rsidRPr="00D126BA" w14:paraId="79BB05BC"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27B77C5A" w14:textId="64F3C1CF" w:rsidR="00D126BA" w:rsidRPr="00E33A61" w:rsidRDefault="00E33A61" w:rsidP="00E33A61">
            <w:pPr>
              <w:keepNext/>
              <w:spacing w:line="240" w:lineRule="auto"/>
              <w:ind w:firstLine="0"/>
              <w:jc w:val="left"/>
              <w:rPr>
                <w:rFonts w:asciiTheme="minorHAnsi" w:eastAsia="Times New Roman" w:hAnsiTheme="minorHAns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vládní zprávy</w:t>
            </w:r>
          </w:p>
        </w:tc>
        <w:tc>
          <w:tcPr>
            <w:tcW w:w="960" w:type="dxa"/>
            <w:tcBorders>
              <w:top w:val="nil"/>
              <w:left w:val="nil"/>
              <w:bottom w:val="single" w:sz="4" w:space="0" w:color="auto"/>
              <w:right w:val="single" w:sz="4" w:space="0" w:color="auto"/>
            </w:tcBorders>
            <w:shd w:val="clear" w:color="auto" w:fill="auto"/>
            <w:noWrap/>
            <w:vAlign w:val="bottom"/>
            <w:hideMark/>
          </w:tcPr>
          <w:p w14:paraId="452A40F7"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10B2D62"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27,89%</w:t>
            </w:r>
          </w:p>
        </w:tc>
        <w:tc>
          <w:tcPr>
            <w:tcW w:w="960" w:type="dxa"/>
            <w:tcBorders>
              <w:top w:val="nil"/>
              <w:left w:val="nil"/>
              <w:bottom w:val="single" w:sz="4" w:space="0" w:color="auto"/>
              <w:right w:val="single" w:sz="4" w:space="0" w:color="auto"/>
            </w:tcBorders>
            <w:shd w:val="clear" w:color="auto" w:fill="auto"/>
            <w:noWrap/>
            <w:vAlign w:val="bottom"/>
            <w:hideMark/>
          </w:tcPr>
          <w:p w14:paraId="24D8C06D"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3,89%</w:t>
            </w:r>
          </w:p>
        </w:tc>
        <w:tc>
          <w:tcPr>
            <w:tcW w:w="960" w:type="dxa"/>
            <w:tcBorders>
              <w:top w:val="nil"/>
              <w:left w:val="nil"/>
              <w:bottom w:val="single" w:sz="4" w:space="0" w:color="auto"/>
              <w:right w:val="single" w:sz="12" w:space="0" w:color="auto"/>
            </w:tcBorders>
            <w:shd w:val="clear" w:color="auto" w:fill="auto"/>
            <w:noWrap/>
            <w:vAlign w:val="bottom"/>
            <w:hideMark/>
          </w:tcPr>
          <w:p w14:paraId="2A5AD570"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26,20%</w:t>
            </w:r>
          </w:p>
        </w:tc>
      </w:tr>
      <w:tr w:rsidR="00D126BA" w:rsidRPr="00D126BA" w14:paraId="79D87473"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16D7EFE7" w14:textId="388A0291" w:rsidR="00D126BA" w:rsidRPr="00E33A61" w:rsidRDefault="00E33A61" w:rsidP="00E33A61">
            <w:pPr>
              <w:keepNext/>
              <w:spacing w:line="240" w:lineRule="auto"/>
              <w:ind w:firstLine="0"/>
              <w:jc w:val="left"/>
              <w:rPr>
                <w:rFonts w:asciiTheme="minorHAnsi" w:eastAsia="Times New Roman" w:hAnsiTheme="minorHAns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Čiebukuro</w:t>
            </w:r>
          </w:p>
        </w:tc>
        <w:tc>
          <w:tcPr>
            <w:tcW w:w="960" w:type="dxa"/>
            <w:tcBorders>
              <w:top w:val="nil"/>
              <w:left w:val="nil"/>
              <w:bottom w:val="single" w:sz="4" w:space="0" w:color="auto"/>
              <w:right w:val="single" w:sz="4" w:space="0" w:color="auto"/>
            </w:tcBorders>
            <w:shd w:val="clear" w:color="auto" w:fill="auto"/>
            <w:noWrap/>
            <w:vAlign w:val="bottom"/>
            <w:hideMark/>
          </w:tcPr>
          <w:p w14:paraId="751B30AE"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18,46%</w:t>
            </w:r>
          </w:p>
        </w:tc>
        <w:tc>
          <w:tcPr>
            <w:tcW w:w="960" w:type="dxa"/>
            <w:tcBorders>
              <w:top w:val="nil"/>
              <w:left w:val="nil"/>
              <w:bottom w:val="single" w:sz="4" w:space="0" w:color="auto"/>
              <w:right w:val="single" w:sz="4" w:space="0" w:color="auto"/>
            </w:tcBorders>
            <w:shd w:val="clear" w:color="auto" w:fill="auto"/>
            <w:noWrap/>
            <w:vAlign w:val="bottom"/>
            <w:hideMark/>
          </w:tcPr>
          <w:p w14:paraId="2F277328"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18,01%</w:t>
            </w:r>
          </w:p>
        </w:tc>
        <w:tc>
          <w:tcPr>
            <w:tcW w:w="960" w:type="dxa"/>
            <w:tcBorders>
              <w:top w:val="nil"/>
              <w:left w:val="nil"/>
              <w:bottom w:val="single" w:sz="4" w:space="0" w:color="auto"/>
              <w:right w:val="single" w:sz="4" w:space="0" w:color="auto"/>
            </w:tcBorders>
            <w:shd w:val="clear" w:color="auto" w:fill="auto"/>
            <w:noWrap/>
            <w:vAlign w:val="bottom"/>
            <w:hideMark/>
          </w:tcPr>
          <w:p w14:paraId="17798765"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35,33%</w:t>
            </w:r>
          </w:p>
        </w:tc>
        <w:tc>
          <w:tcPr>
            <w:tcW w:w="960" w:type="dxa"/>
            <w:tcBorders>
              <w:top w:val="nil"/>
              <w:left w:val="nil"/>
              <w:bottom w:val="single" w:sz="4" w:space="0" w:color="auto"/>
              <w:right w:val="single" w:sz="12" w:space="0" w:color="auto"/>
            </w:tcBorders>
            <w:shd w:val="clear" w:color="auto" w:fill="auto"/>
            <w:noWrap/>
            <w:vAlign w:val="bottom"/>
            <w:hideMark/>
          </w:tcPr>
          <w:p w14:paraId="2C4BFA92"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19,11%</w:t>
            </w:r>
          </w:p>
        </w:tc>
      </w:tr>
      <w:tr w:rsidR="00D126BA" w:rsidRPr="00D126BA" w14:paraId="367AA21C" w14:textId="77777777" w:rsidTr="00B276B7">
        <w:trPr>
          <w:cantSplit/>
          <w:trHeight w:val="315"/>
        </w:trPr>
        <w:tc>
          <w:tcPr>
            <w:tcW w:w="2800" w:type="dxa"/>
            <w:tcBorders>
              <w:top w:val="nil"/>
              <w:left w:val="single" w:sz="12" w:space="0" w:color="auto"/>
              <w:bottom w:val="single" w:sz="12" w:space="0" w:color="auto"/>
              <w:right w:val="single" w:sz="4" w:space="0" w:color="auto"/>
            </w:tcBorders>
            <w:shd w:val="clear" w:color="auto" w:fill="auto"/>
            <w:noWrap/>
            <w:vAlign w:val="bottom"/>
            <w:hideMark/>
          </w:tcPr>
          <w:p w14:paraId="7FF84F91" w14:textId="5CC90348" w:rsidR="00D126BA" w:rsidRPr="00E33A61" w:rsidRDefault="00E33A61" w:rsidP="00E33A61">
            <w:pPr>
              <w:keepNext/>
              <w:spacing w:line="240" w:lineRule="auto"/>
              <w:ind w:firstLine="0"/>
              <w:jc w:val="left"/>
              <w:rPr>
                <w:rFonts w:asciiTheme="minorHAnsi" w:eastAsia="Times New Roman" w:hAnsiTheme="minorHAns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verše</w:t>
            </w:r>
          </w:p>
        </w:tc>
        <w:tc>
          <w:tcPr>
            <w:tcW w:w="960" w:type="dxa"/>
            <w:tcBorders>
              <w:top w:val="nil"/>
              <w:left w:val="nil"/>
              <w:bottom w:val="single" w:sz="12" w:space="0" w:color="auto"/>
              <w:right w:val="single" w:sz="4" w:space="0" w:color="auto"/>
            </w:tcBorders>
            <w:shd w:val="clear" w:color="auto" w:fill="auto"/>
            <w:noWrap/>
            <w:vAlign w:val="bottom"/>
            <w:hideMark/>
          </w:tcPr>
          <w:p w14:paraId="74116E2D"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0,00%</w:t>
            </w:r>
          </w:p>
        </w:tc>
        <w:tc>
          <w:tcPr>
            <w:tcW w:w="960" w:type="dxa"/>
            <w:tcBorders>
              <w:top w:val="nil"/>
              <w:left w:val="nil"/>
              <w:bottom w:val="single" w:sz="12" w:space="0" w:color="auto"/>
              <w:right w:val="single" w:sz="4" w:space="0" w:color="auto"/>
            </w:tcBorders>
            <w:shd w:val="clear" w:color="auto" w:fill="auto"/>
            <w:noWrap/>
            <w:vAlign w:val="bottom"/>
            <w:hideMark/>
          </w:tcPr>
          <w:p w14:paraId="5BBCA1F7"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0,56%</w:t>
            </w:r>
          </w:p>
        </w:tc>
        <w:tc>
          <w:tcPr>
            <w:tcW w:w="960" w:type="dxa"/>
            <w:tcBorders>
              <w:top w:val="nil"/>
              <w:left w:val="nil"/>
              <w:bottom w:val="single" w:sz="12" w:space="0" w:color="auto"/>
              <w:right w:val="single" w:sz="4" w:space="0" w:color="auto"/>
            </w:tcBorders>
            <w:shd w:val="clear" w:color="auto" w:fill="auto"/>
            <w:noWrap/>
            <w:vAlign w:val="bottom"/>
            <w:hideMark/>
          </w:tcPr>
          <w:p w14:paraId="6E9E770A"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0,70%</w:t>
            </w:r>
          </w:p>
        </w:tc>
        <w:tc>
          <w:tcPr>
            <w:tcW w:w="960" w:type="dxa"/>
            <w:tcBorders>
              <w:top w:val="nil"/>
              <w:left w:val="nil"/>
              <w:bottom w:val="single" w:sz="12" w:space="0" w:color="auto"/>
              <w:right w:val="single" w:sz="12" w:space="0" w:color="auto"/>
            </w:tcBorders>
            <w:shd w:val="clear" w:color="auto" w:fill="auto"/>
            <w:noWrap/>
            <w:vAlign w:val="bottom"/>
            <w:hideMark/>
          </w:tcPr>
          <w:p w14:paraId="5049B391" w14:textId="77777777" w:rsidR="00D126BA" w:rsidRPr="00D126BA" w:rsidRDefault="00D126BA" w:rsidP="009450E2">
            <w:pPr>
              <w:keepNext/>
              <w:spacing w:line="240" w:lineRule="auto"/>
              <w:ind w:firstLine="0"/>
              <w:jc w:val="center"/>
              <w:rPr>
                <w:rFonts w:ascii="Calibri" w:eastAsia="Times New Roman" w:hAnsi="Calibri" w:cs="Times New Roman"/>
                <w:color w:val="000000"/>
                <w:sz w:val="22"/>
              </w:rPr>
            </w:pPr>
            <w:r w:rsidRPr="00D126BA">
              <w:rPr>
                <w:rFonts w:ascii="Calibri" w:eastAsia="Times New Roman" w:hAnsi="Calibri" w:cs="Times New Roman"/>
                <w:color w:val="000000"/>
                <w:sz w:val="22"/>
              </w:rPr>
              <w:t>0,57%</w:t>
            </w:r>
          </w:p>
        </w:tc>
      </w:tr>
    </w:tbl>
    <w:p w14:paraId="19A9DD3F" w14:textId="4BB96E69" w:rsidR="00E4649E" w:rsidRDefault="00363A02" w:rsidP="00363A02">
      <w:pPr>
        <w:pStyle w:val="Titulek"/>
      </w:pPr>
      <w:r>
        <w:t xml:space="preserve">Tabulka </w:t>
      </w:r>
      <w:r w:rsidR="00E52248">
        <w:rPr>
          <w:noProof/>
        </w:rPr>
        <w:fldChar w:fldCharType="begin"/>
      </w:r>
      <w:r w:rsidR="00E52248">
        <w:rPr>
          <w:noProof/>
        </w:rPr>
        <w:instrText xml:space="preserve"> SEQ Tabulka \* ARABIC </w:instrText>
      </w:r>
      <w:r w:rsidR="00E52248">
        <w:rPr>
          <w:noProof/>
        </w:rPr>
        <w:fldChar w:fldCharType="separate"/>
      </w:r>
      <w:r w:rsidR="0061476C">
        <w:rPr>
          <w:noProof/>
        </w:rPr>
        <w:t>1</w:t>
      </w:r>
      <w:r w:rsidR="00E52248">
        <w:rPr>
          <w:noProof/>
        </w:rPr>
        <w:fldChar w:fldCharType="end"/>
      </w:r>
      <w:r>
        <w:t>: Distribuce uči v</w:t>
      </w:r>
      <w:r w:rsidR="00BB10FB">
        <w:t> </w:t>
      </w:r>
      <w:r>
        <w:t>korpusu (NINJAL 2009)</w:t>
      </w:r>
    </w:p>
    <w:p w14:paraId="249981E5" w14:textId="4390D55D" w:rsidR="00363A02" w:rsidRDefault="00BB10FB" w:rsidP="00363A02">
      <w:pPr>
        <w:pStyle w:val="Bezmezer"/>
      </w:pPr>
      <w:r>
        <w:t>V </w:t>
      </w:r>
      <w:r w:rsidR="00A805A5" w:rsidRPr="00E51EFC">
        <w:rPr>
          <w:i/>
        </w:rPr>
        <w:t>T</w:t>
      </w:r>
      <w:r w:rsidRPr="00E51EFC">
        <w:rPr>
          <w:i/>
        </w:rPr>
        <w:t>abulce 1</w:t>
      </w:r>
      <w:r>
        <w:t xml:space="preserve"> jsou zane</w:t>
      </w:r>
      <w:r w:rsidR="001014D1">
        <w:t>seny výskyty slova uči v</w:t>
      </w:r>
      <w:r w:rsidR="006E221B">
        <w:t> </w:t>
      </w:r>
      <w:r w:rsidR="001014D1">
        <w:t>korpusu</w:t>
      </w:r>
      <w:r w:rsidR="006E221B">
        <w:t xml:space="preserve"> a</w:t>
      </w:r>
      <w:r w:rsidR="001014D1">
        <w:t xml:space="preserve"> zobrazeny jako procenta všech výskytů tohoto slova. Jednotlivé způsoby zápisu jsou rozděleny po sloupcích a ve sloupci Součet jsou počty výskytů uči v daném subkorpusu sečteny. Zvýrazněny jsou tři hlavní </w:t>
      </w:r>
      <w:r w:rsidR="00D640BB">
        <w:t>sub</w:t>
      </w:r>
      <w:r w:rsidR="001014D1">
        <w:t xml:space="preserve">korpusy. Za zmínku stojí hodnoty </w:t>
      </w:r>
      <w:r w:rsidR="000F5402">
        <w:t>sloupce Součet</w:t>
      </w:r>
      <w:r w:rsidR="001014D1">
        <w:t xml:space="preserve"> těchto tří záznamů. Výskyty uči jsou v těchto </w:t>
      </w:r>
      <w:r w:rsidR="00D640BB">
        <w:t>třech subkorpusech rozděleny zhruba po třetinách (32,59%, 33,40% a 34,01%).</w:t>
      </w:r>
    </w:p>
    <w:p w14:paraId="3018F706" w14:textId="148F8565" w:rsidR="00D640BB" w:rsidRDefault="00D640BB" w:rsidP="00D640BB">
      <w:r>
        <w:lastRenderedPageBreak/>
        <w:t xml:space="preserve">Při jemnějším dělení </w:t>
      </w:r>
      <w:r w:rsidR="00CA5C30">
        <w:t xml:space="preserve">těchto subkorpusů </w:t>
      </w:r>
      <w:r>
        <w:t>se získá 13 různých subkorpusů</w:t>
      </w:r>
      <w:r w:rsidR="00CA5C30">
        <w:t xml:space="preserve"> nižší úrovně</w:t>
      </w:r>
      <w:r>
        <w:t xml:space="preserve">, které jsou zastoupeny nezvýrazněnými řádky. </w:t>
      </w:r>
      <w:r w:rsidR="00CA5C30">
        <w:t xml:space="preserve">Procentuální údaje v těchto řádcích udávají poměrné zastoupení vůči nadřazenému subkorpusu. Například z tabulky lze zjistit, </w:t>
      </w:r>
      <w:r w:rsidR="009E2D4D">
        <w:t xml:space="preserve">že v subkorpusu </w:t>
      </w:r>
      <w:r w:rsidR="000F5402" w:rsidRPr="00D34A7B">
        <w:rPr>
          <w:rFonts w:hint="eastAsia"/>
          <w:i/>
        </w:rPr>
        <w:t>vydaných textů</w:t>
      </w:r>
      <w:r w:rsidR="00CA5C30">
        <w:t xml:space="preserve"> se uči psané katakanou objevilo </w:t>
      </w:r>
      <w:r w:rsidR="00660A30">
        <w:t xml:space="preserve">v </w:t>
      </w:r>
      <w:r w:rsidR="00CA5C30">
        <w:t>20,69% všech výskytů, z čehož 77,78% výskytů bylo v </w:t>
      </w:r>
      <w:r w:rsidR="00CA5C30" w:rsidRPr="00D34A7B">
        <w:rPr>
          <w:i/>
        </w:rPr>
        <w:t>knihách</w:t>
      </w:r>
      <w:r w:rsidR="00CA5C30">
        <w:t xml:space="preserve"> a 22,22% v </w:t>
      </w:r>
      <w:r w:rsidR="00CA5C30" w:rsidRPr="00D34A7B">
        <w:rPr>
          <w:i/>
        </w:rPr>
        <w:t>časopisech</w:t>
      </w:r>
      <w:r w:rsidR="00CA5C30">
        <w:t xml:space="preserve">. </w:t>
      </w:r>
      <w:r w:rsidR="00F125F5">
        <w:t>Subkorpus</w:t>
      </w:r>
      <w:r w:rsidR="00CA0FCB">
        <w:rPr>
          <w:rFonts w:hint="eastAsia"/>
        </w:rPr>
        <w:t xml:space="preserve"> </w:t>
      </w:r>
      <w:r w:rsidR="00CA0FCB" w:rsidRPr="00D34A7B">
        <w:rPr>
          <w:rFonts w:hint="eastAsia"/>
          <w:i/>
        </w:rPr>
        <w:t>knih v knihovnách</w:t>
      </w:r>
      <w:r w:rsidR="00F125F5">
        <w:t xml:space="preserve"> žádné další dělení nemá. </w:t>
      </w:r>
      <w:r w:rsidR="00B575ED">
        <w:t>Zde je hoden zvláštního zřetele fakt, že většina výskytů zápisu katakanou pochází ze subkorpusu</w:t>
      </w:r>
      <w:r w:rsidR="00A031AA">
        <w:rPr>
          <w:rFonts w:hint="eastAsia"/>
        </w:rPr>
        <w:t xml:space="preserve"> </w:t>
      </w:r>
      <w:r w:rsidR="00A031AA" w:rsidRPr="00D34A7B">
        <w:rPr>
          <w:rFonts w:hint="eastAsia"/>
          <w:i/>
        </w:rPr>
        <w:t>ostatních textů</w:t>
      </w:r>
      <w:r w:rsidR="009E2D4D">
        <w:t xml:space="preserve"> (</w:t>
      </w:r>
      <w:r w:rsidR="00BA4855">
        <w:t>74,71%)</w:t>
      </w:r>
      <w:r w:rsidR="00B575ED">
        <w:t>, konkrétně z </w:t>
      </w:r>
      <w:r w:rsidR="00FA0262" w:rsidRPr="00D34A7B">
        <w:rPr>
          <w:rFonts w:hint="eastAsia"/>
          <w:i/>
        </w:rPr>
        <w:t>blogů</w:t>
      </w:r>
      <w:r w:rsidR="009E2D4D">
        <w:t xml:space="preserve"> (</w:t>
      </w:r>
      <w:r w:rsidR="00BA4855" w:rsidRPr="00BA4855">
        <w:t>76,92%</w:t>
      </w:r>
      <w:r w:rsidR="00BA4855">
        <w:t xml:space="preserve">) </w:t>
      </w:r>
      <w:r w:rsidR="00B575ED">
        <w:t>a</w:t>
      </w:r>
      <w:r w:rsidR="00FA0262">
        <w:t xml:space="preserve"> </w:t>
      </w:r>
      <w:r w:rsidR="00FA0262" w:rsidRPr="00D34A7B">
        <w:rPr>
          <w:rFonts w:hint="eastAsia"/>
          <w:i/>
        </w:rPr>
        <w:t>Č</w:t>
      </w:r>
      <w:r w:rsidR="00FA0262" w:rsidRPr="00D34A7B">
        <w:rPr>
          <w:i/>
        </w:rPr>
        <w:t>iebukura</w:t>
      </w:r>
      <w:r w:rsidR="009E2D4D">
        <w:t xml:space="preserve"> (</w:t>
      </w:r>
      <w:r w:rsidR="00B575ED">
        <w:t>japonsk</w:t>
      </w:r>
      <w:r w:rsidR="00BA4855">
        <w:t>á</w:t>
      </w:r>
      <w:r w:rsidR="00B575ED">
        <w:t xml:space="preserve"> verz</w:t>
      </w:r>
      <w:r w:rsidR="00BA4855">
        <w:t>e</w:t>
      </w:r>
      <w:r w:rsidR="00B575ED">
        <w:t xml:space="preserve"> Yahoo! Answers</w:t>
      </w:r>
      <w:r w:rsidR="00BA4855">
        <w:t xml:space="preserve">, </w:t>
      </w:r>
      <w:r w:rsidR="00BA4855" w:rsidRPr="00BA4855">
        <w:t>18,46%</w:t>
      </w:r>
      <w:r w:rsidR="00B575ED">
        <w:t>), což jsou internetové zdroje.</w:t>
      </w:r>
      <w:r w:rsidR="0026354F">
        <w:t xml:space="preserve"> Tyto dva subkorpusy do své skupiny také přispěly </w:t>
      </w:r>
      <w:r w:rsidR="00BA4855">
        <w:t>většinovým podílem zapisů znakem (v součtu 70,65%).</w:t>
      </w:r>
    </w:p>
    <w:p w14:paraId="48C969EF" w14:textId="70DCC2C9" w:rsidR="00804CCF" w:rsidRDefault="000F5402" w:rsidP="00D640BB">
      <w:r>
        <w:t>Tento druh tabulky</w:t>
      </w:r>
      <w:r w:rsidR="00B575ED">
        <w:t xml:space="preserve"> je vhodn</w:t>
      </w:r>
      <w:r>
        <w:t>ý</w:t>
      </w:r>
      <w:r w:rsidR="00B575ED">
        <w:t xml:space="preserve"> pro první náhled na data a utvoření si základního přehledu, pro podrobnější </w:t>
      </w:r>
      <w:r w:rsidR="0026354F">
        <w:t xml:space="preserve">interpretaci </w:t>
      </w:r>
      <w:r w:rsidR="00BA4855">
        <w:t xml:space="preserve">ale už </w:t>
      </w:r>
      <w:r w:rsidR="0026354F">
        <w:t>vhodn</w:t>
      </w:r>
      <w:r>
        <w:t>ý</w:t>
      </w:r>
      <w:r w:rsidR="0026354F">
        <w:t xml:space="preserve"> není, protože nezohledňuje velikosti jednotlivých subkorpusů. Mohlo by se zdát, že </w:t>
      </w:r>
      <w:r w:rsidR="00BA4855">
        <w:t xml:space="preserve">například </w:t>
      </w:r>
      <w:r w:rsidR="00264C72" w:rsidRPr="00D34A7B">
        <w:rPr>
          <w:i/>
        </w:rPr>
        <w:t>vydané knihy</w:t>
      </w:r>
      <w:r w:rsidR="00264C72">
        <w:t xml:space="preserve"> mají </w:t>
      </w:r>
      <w:r w:rsidR="00767892">
        <w:t xml:space="preserve">oproti </w:t>
      </w:r>
      <w:r w:rsidR="00767892" w:rsidRPr="00D34A7B">
        <w:rPr>
          <w:i/>
        </w:rPr>
        <w:t>časopisům</w:t>
      </w:r>
      <w:r w:rsidR="00767892">
        <w:t xml:space="preserve"> a</w:t>
      </w:r>
      <w:r w:rsidR="00767892" w:rsidRPr="00D34A7B">
        <w:rPr>
          <w:i/>
        </w:rPr>
        <w:t xml:space="preserve"> novinám</w:t>
      </w:r>
      <w:r w:rsidR="00767892">
        <w:t xml:space="preserve"> </w:t>
      </w:r>
      <w:r w:rsidR="00264C72">
        <w:t xml:space="preserve">vysoký podíl zápisu uči </w:t>
      </w:r>
      <w:r w:rsidR="00767892">
        <w:t xml:space="preserve">hiraganou (86,78%), ale to </w:t>
      </w:r>
      <w:r w:rsidR="006E221B">
        <w:t xml:space="preserve">je </w:t>
      </w:r>
      <w:r w:rsidR="00767892">
        <w:t xml:space="preserve">způsobeno tím, že v tomto subkorpusu je výskyt uči vysoký celkově (87,23%). Není překvapivé, že když se druhé dva subkorpusy dělí o zbývajících 13,22% výskytů uči v hiraganě, budou jejich hodnoty oproti </w:t>
      </w:r>
      <w:r w:rsidR="00767892" w:rsidRPr="00E51EFC">
        <w:rPr>
          <w:i/>
        </w:rPr>
        <w:t>knihám</w:t>
      </w:r>
      <w:r w:rsidR="00767892">
        <w:t xml:space="preserve"> menší.</w:t>
      </w:r>
    </w:p>
    <w:p w14:paraId="71F1DDF9" w14:textId="72EA5FE7" w:rsidR="00804CCF" w:rsidRDefault="00804CCF" w:rsidP="00804CCF">
      <w:r w:rsidRPr="00E51EFC">
        <w:rPr>
          <w:i/>
        </w:rPr>
        <w:t>Tabulka 2</w:t>
      </w:r>
      <w:r>
        <w:t xml:space="preserve"> ukazuje procentuální zastoupení způsobů zápisu pro každý subkorpus. Zde je už každý řádek nezávislý na ostatních, nezvýrazněné řádky se interpretují stejně jako zvýrazněné. Řádek Celý korpus obsahuje průměrné podíly zápisů pro celý korpus. V této tabulce zaujmou ve</w:t>
      </w:r>
      <w:r w:rsidR="000C703B">
        <w:t>lmi nízké podíly zápisu znakem v </w:t>
      </w:r>
      <w:r w:rsidR="000C703B" w:rsidRPr="00E51EFC">
        <w:rPr>
          <w:i/>
        </w:rPr>
        <w:t>přepisech vládních jednání</w:t>
      </w:r>
      <w:r>
        <w:rPr>
          <w:rFonts w:hint="eastAsia"/>
        </w:rPr>
        <w:t xml:space="preserve">, </w:t>
      </w:r>
      <w:r w:rsidR="000C703B" w:rsidRPr="00E51EFC">
        <w:rPr>
          <w:rFonts w:hint="eastAsia"/>
          <w:i/>
        </w:rPr>
        <w:t>zákoníků</w:t>
      </w:r>
      <w:r>
        <w:rPr>
          <w:rFonts w:hint="eastAsia"/>
        </w:rPr>
        <w:t xml:space="preserve"> a</w:t>
      </w:r>
      <w:r w:rsidR="000C703B">
        <w:rPr>
          <w:rFonts w:hint="eastAsia"/>
        </w:rPr>
        <w:t xml:space="preserve"> </w:t>
      </w:r>
      <w:r w:rsidR="000C703B" w:rsidRPr="00E51EFC">
        <w:rPr>
          <w:rFonts w:hint="eastAsia"/>
          <w:i/>
        </w:rPr>
        <w:t>vládních zpráv</w:t>
      </w:r>
      <w:r>
        <w:rPr>
          <w:rFonts w:hint="eastAsia"/>
        </w:rPr>
        <w:t xml:space="preserve">. </w:t>
      </w:r>
      <w:r>
        <w:t>Společnou vlastností těchto subkorpusů je to, že všechny obsahují texty oficiální a formální.</w:t>
      </w:r>
    </w:p>
    <w:p w14:paraId="66DD85BA" w14:textId="769545FB" w:rsidR="009450E2" w:rsidRPr="00D640BB" w:rsidRDefault="009450E2" w:rsidP="00804CCF">
      <w:r>
        <w:t>Další náhled na data je v </w:t>
      </w:r>
      <w:r w:rsidRPr="00E51EFC">
        <w:rPr>
          <w:i/>
        </w:rPr>
        <w:t>Tabulce 3</w:t>
      </w:r>
      <w:r>
        <w:t>. V této tabulce jsou relativní četnosti různých zápisů slova uči na milion slov.</w:t>
      </w:r>
      <w:r w:rsidR="009D1923">
        <w:t xml:space="preserve"> Tyto relativní četnosti se získají vydělením počtu výskytů zkoumaného slova počtem všech slov v subkorpusu a vynásobením vzniklé hodnoty milionem. (Brezina 2018)</w:t>
      </w:r>
      <w:r>
        <w:t xml:space="preserve"> Toto umožňuje porovnávat jednotlivé subkorpusy přímo mezi sebou, </w:t>
      </w:r>
      <w:r>
        <w:lastRenderedPageBreak/>
        <w:t>protože je odstraněna závislost na velikosti korpusu.</w:t>
      </w:r>
      <w:r w:rsidR="00076A95">
        <w:t xml:space="preserve"> </w:t>
      </w:r>
      <w:r w:rsidR="0009049F">
        <w:t xml:space="preserve">Je pozoruhodné, že se v </w:t>
      </w:r>
      <w:r w:rsidR="00076A95">
        <w:t>subkorpus</w:t>
      </w:r>
      <w:r w:rsidR="0009049F">
        <w:t>ech</w:t>
      </w:r>
      <w:r w:rsidR="0009049F" w:rsidRPr="0009049F">
        <w:t xml:space="preserve"> </w:t>
      </w:r>
      <w:r w:rsidR="0009049F" w:rsidRPr="0009049F">
        <w:rPr>
          <w:i/>
        </w:rPr>
        <w:t>Ostatní - zákoníky</w:t>
      </w:r>
      <w:r w:rsidR="00076A95">
        <w:rPr>
          <w:rFonts w:hint="eastAsia"/>
        </w:rPr>
        <w:t xml:space="preserve"> a</w:t>
      </w:r>
      <w:r w:rsidR="0009049F" w:rsidRPr="0009049F">
        <w:t xml:space="preserve"> </w:t>
      </w:r>
      <w:r w:rsidR="0009049F" w:rsidRPr="0009049F">
        <w:rPr>
          <w:i/>
        </w:rPr>
        <w:t>Ostatní - vládní zprávy</w:t>
      </w:r>
      <w:r w:rsidR="00076A95">
        <w:rPr>
          <w:rFonts w:hint="eastAsia"/>
        </w:rPr>
        <w:t xml:space="preserve"> uči vyskytuje mnohem hustěji než v</w:t>
      </w:r>
      <w:r w:rsidR="00076A95">
        <w:t> </w:t>
      </w:r>
      <w:r w:rsidR="00076A95">
        <w:rPr>
          <w:rFonts w:hint="eastAsia"/>
        </w:rPr>
        <w:t>ostatních.</w:t>
      </w:r>
    </w:p>
    <w:tbl>
      <w:tblPr>
        <w:tblW w:w="5680" w:type="dxa"/>
        <w:tblCellMar>
          <w:left w:w="70" w:type="dxa"/>
          <w:right w:w="70" w:type="dxa"/>
        </w:tblCellMar>
        <w:tblLook w:val="04A0" w:firstRow="1" w:lastRow="0" w:firstColumn="1" w:lastColumn="0" w:noHBand="0" w:noVBand="1"/>
      </w:tblPr>
      <w:tblGrid>
        <w:gridCol w:w="2800"/>
        <w:gridCol w:w="960"/>
        <w:gridCol w:w="960"/>
        <w:gridCol w:w="960"/>
      </w:tblGrid>
      <w:tr w:rsidR="00D004C9" w:rsidRPr="00D004C9" w14:paraId="7B98A4B7" w14:textId="77777777" w:rsidTr="00B276B7">
        <w:trPr>
          <w:cantSplit/>
          <w:trHeight w:val="330"/>
        </w:trPr>
        <w:tc>
          <w:tcPr>
            <w:tcW w:w="2800" w:type="dxa"/>
            <w:tcBorders>
              <w:top w:val="single" w:sz="12" w:space="0" w:color="auto"/>
              <w:left w:val="single" w:sz="12" w:space="0" w:color="auto"/>
              <w:bottom w:val="single" w:sz="8" w:space="0" w:color="auto"/>
              <w:right w:val="single" w:sz="4" w:space="0" w:color="auto"/>
            </w:tcBorders>
            <w:shd w:val="clear" w:color="000000" w:fill="BDD7EE"/>
            <w:noWrap/>
            <w:vAlign w:val="bottom"/>
            <w:hideMark/>
          </w:tcPr>
          <w:p w14:paraId="5B601C8A" w14:textId="77777777" w:rsidR="00D004C9" w:rsidRPr="00D004C9" w:rsidRDefault="00D004C9" w:rsidP="00B276B7">
            <w:pPr>
              <w:keepNext/>
              <w:spacing w:line="240" w:lineRule="auto"/>
              <w:ind w:firstLine="0"/>
              <w:jc w:val="center"/>
              <w:rPr>
                <w:rFonts w:ascii="Calibri" w:eastAsia="Times New Roman" w:hAnsi="Calibri" w:cs="Times New Roman"/>
                <w:b/>
                <w:bCs/>
                <w:color w:val="000000"/>
                <w:sz w:val="22"/>
              </w:rPr>
            </w:pPr>
            <w:r w:rsidRPr="00D004C9">
              <w:rPr>
                <w:rFonts w:ascii="Calibri" w:eastAsia="Times New Roman" w:hAnsi="Calibri" w:cs="Times New Roman"/>
                <w:b/>
                <w:bCs/>
                <w:color w:val="000000"/>
                <w:sz w:val="22"/>
              </w:rPr>
              <w:t>Subkorpus</w:t>
            </w:r>
          </w:p>
        </w:tc>
        <w:tc>
          <w:tcPr>
            <w:tcW w:w="960" w:type="dxa"/>
            <w:tcBorders>
              <w:top w:val="single" w:sz="12" w:space="0" w:color="auto"/>
              <w:left w:val="nil"/>
              <w:bottom w:val="single" w:sz="8" w:space="0" w:color="auto"/>
              <w:right w:val="single" w:sz="4" w:space="0" w:color="auto"/>
            </w:tcBorders>
            <w:shd w:val="clear" w:color="000000" w:fill="BDD7EE"/>
            <w:noWrap/>
            <w:vAlign w:val="bottom"/>
            <w:hideMark/>
          </w:tcPr>
          <w:p w14:paraId="1133D086" w14:textId="77777777" w:rsidR="00D004C9" w:rsidRPr="00D004C9" w:rsidRDefault="00D004C9" w:rsidP="00B276B7">
            <w:pPr>
              <w:keepNext/>
              <w:spacing w:line="240" w:lineRule="auto"/>
              <w:ind w:firstLine="0"/>
              <w:jc w:val="center"/>
              <w:rPr>
                <w:rFonts w:ascii="Calibri" w:eastAsia="Times New Roman" w:hAnsi="Calibri" w:cs="Times New Roman"/>
                <w:b/>
                <w:bCs/>
                <w:color w:val="000000"/>
                <w:sz w:val="22"/>
              </w:rPr>
            </w:pPr>
            <w:r w:rsidRPr="00D004C9">
              <w:rPr>
                <w:rFonts w:ascii="ＭＳ ゴシック" w:eastAsia="Times New Roman" w:hAnsi="ＭＳ ゴシック" w:cs="ＭＳ ゴシック"/>
                <w:b/>
                <w:bCs/>
                <w:color w:val="000000"/>
                <w:sz w:val="22"/>
              </w:rPr>
              <w:t>ウチ</w:t>
            </w:r>
          </w:p>
        </w:tc>
        <w:tc>
          <w:tcPr>
            <w:tcW w:w="960" w:type="dxa"/>
            <w:tcBorders>
              <w:top w:val="single" w:sz="12" w:space="0" w:color="auto"/>
              <w:left w:val="nil"/>
              <w:bottom w:val="single" w:sz="8" w:space="0" w:color="auto"/>
              <w:right w:val="single" w:sz="4" w:space="0" w:color="auto"/>
            </w:tcBorders>
            <w:shd w:val="clear" w:color="000000" w:fill="BDD7EE"/>
            <w:noWrap/>
            <w:vAlign w:val="bottom"/>
            <w:hideMark/>
          </w:tcPr>
          <w:p w14:paraId="0BD357DC" w14:textId="77777777" w:rsidR="00D004C9" w:rsidRPr="00D004C9" w:rsidRDefault="00D004C9" w:rsidP="00B276B7">
            <w:pPr>
              <w:keepNext/>
              <w:spacing w:line="240" w:lineRule="auto"/>
              <w:ind w:firstLine="0"/>
              <w:jc w:val="center"/>
              <w:rPr>
                <w:rFonts w:ascii="Calibri" w:eastAsia="Times New Roman" w:hAnsi="Calibri" w:cs="Times New Roman"/>
                <w:b/>
                <w:bCs/>
                <w:color w:val="000000"/>
                <w:sz w:val="22"/>
              </w:rPr>
            </w:pPr>
            <w:r w:rsidRPr="00D004C9">
              <w:rPr>
                <w:rFonts w:ascii="ＭＳ ゴシック" w:eastAsia="Times New Roman" w:hAnsi="ＭＳ ゴシック" w:cs="ＭＳ ゴシック"/>
                <w:b/>
                <w:bCs/>
                <w:color w:val="000000"/>
                <w:sz w:val="22"/>
              </w:rPr>
              <w:t>うち</w:t>
            </w:r>
          </w:p>
        </w:tc>
        <w:tc>
          <w:tcPr>
            <w:tcW w:w="960" w:type="dxa"/>
            <w:tcBorders>
              <w:top w:val="single" w:sz="12" w:space="0" w:color="auto"/>
              <w:left w:val="nil"/>
              <w:bottom w:val="single" w:sz="8" w:space="0" w:color="auto"/>
              <w:right w:val="single" w:sz="12" w:space="0" w:color="auto"/>
            </w:tcBorders>
            <w:shd w:val="clear" w:color="000000" w:fill="BDD7EE"/>
            <w:noWrap/>
            <w:vAlign w:val="bottom"/>
            <w:hideMark/>
          </w:tcPr>
          <w:p w14:paraId="45DE48B8" w14:textId="77777777" w:rsidR="00D004C9" w:rsidRPr="00D004C9" w:rsidRDefault="00D004C9" w:rsidP="00B276B7">
            <w:pPr>
              <w:keepNext/>
              <w:spacing w:line="240" w:lineRule="auto"/>
              <w:ind w:firstLine="0"/>
              <w:jc w:val="center"/>
              <w:rPr>
                <w:rFonts w:ascii="Calibri" w:eastAsia="Times New Roman" w:hAnsi="Calibri" w:cs="Times New Roman"/>
                <w:b/>
                <w:bCs/>
                <w:color w:val="000000"/>
                <w:sz w:val="22"/>
              </w:rPr>
            </w:pPr>
            <w:r w:rsidRPr="00D004C9">
              <w:rPr>
                <w:rFonts w:ascii="ＭＳ ゴシック" w:eastAsia="Times New Roman" w:hAnsi="ＭＳ ゴシック" w:cs="ＭＳ ゴシック"/>
                <w:b/>
                <w:bCs/>
                <w:color w:val="000000"/>
                <w:sz w:val="22"/>
              </w:rPr>
              <w:t>内</w:t>
            </w:r>
          </w:p>
        </w:tc>
      </w:tr>
      <w:tr w:rsidR="00B022E7" w:rsidRPr="00D004C9" w14:paraId="5A3C0D11"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000000" w:fill="D0CECE"/>
            <w:noWrap/>
            <w:vAlign w:val="bottom"/>
            <w:hideMark/>
          </w:tcPr>
          <w:p w14:paraId="29F3F392" w14:textId="64032874" w:rsidR="00B022E7" w:rsidRPr="00D004C9" w:rsidRDefault="00B022E7" w:rsidP="00B022E7">
            <w:pPr>
              <w:keepNext/>
              <w:spacing w:line="240" w:lineRule="auto"/>
              <w:ind w:firstLine="0"/>
              <w:jc w:val="left"/>
              <w:rPr>
                <w:rFonts w:ascii="Calibri" w:eastAsia="Times New Roman" w:hAnsi="Calibri" w:cs="Times New Roman"/>
                <w:b/>
                <w:bCs/>
                <w:color w:val="000000"/>
                <w:sz w:val="22"/>
              </w:rPr>
            </w:pPr>
            <w:r w:rsidRPr="00E33A61">
              <w:rPr>
                <w:rFonts w:asciiTheme="minorHAnsi" w:eastAsia="Times New Roman" w:hAnsiTheme="minorHAnsi" w:cs="ＭＳ ゴシック"/>
                <w:b/>
                <w:bCs/>
                <w:color w:val="000000"/>
                <w:sz w:val="22"/>
              </w:rPr>
              <w:t>Vydané texty</w:t>
            </w:r>
          </w:p>
        </w:tc>
        <w:tc>
          <w:tcPr>
            <w:tcW w:w="960" w:type="dxa"/>
            <w:tcBorders>
              <w:top w:val="nil"/>
              <w:left w:val="nil"/>
              <w:bottom w:val="single" w:sz="4" w:space="0" w:color="auto"/>
              <w:right w:val="single" w:sz="4" w:space="0" w:color="auto"/>
            </w:tcBorders>
            <w:shd w:val="clear" w:color="000000" w:fill="D0CECE"/>
            <w:noWrap/>
            <w:vAlign w:val="bottom"/>
            <w:hideMark/>
          </w:tcPr>
          <w:p w14:paraId="0ED401E2" w14:textId="77777777" w:rsidR="00B022E7" w:rsidRPr="00D004C9" w:rsidRDefault="00B022E7" w:rsidP="00B022E7">
            <w:pPr>
              <w:keepNext/>
              <w:spacing w:line="240" w:lineRule="auto"/>
              <w:ind w:firstLine="0"/>
              <w:jc w:val="center"/>
              <w:rPr>
                <w:rFonts w:ascii="Calibri" w:eastAsia="Times New Roman" w:hAnsi="Calibri" w:cs="Times New Roman"/>
                <w:b/>
                <w:bCs/>
                <w:color w:val="000000"/>
                <w:sz w:val="22"/>
              </w:rPr>
            </w:pPr>
            <w:r w:rsidRPr="00D004C9">
              <w:rPr>
                <w:rFonts w:ascii="Calibri" w:eastAsia="Times New Roman" w:hAnsi="Calibri" w:cs="Times New Roman"/>
                <w:b/>
                <w:bCs/>
                <w:color w:val="000000"/>
                <w:sz w:val="22"/>
              </w:rPr>
              <w:t>0,17%</w:t>
            </w:r>
          </w:p>
        </w:tc>
        <w:tc>
          <w:tcPr>
            <w:tcW w:w="960" w:type="dxa"/>
            <w:tcBorders>
              <w:top w:val="nil"/>
              <w:left w:val="nil"/>
              <w:bottom w:val="single" w:sz="4" w:space="0" w:color="auto"/>
              <w:right w:val="single" w:sz="4" w:space="0" w:color="auto"/>
            </w:tcBorders>
            <w:shd w:val="clear" w:color="000000" w:fill="D0CECE"/>
            <w:noWrap/>
            <w:vAlign w:val="bottom"/>
            <w:hideMark/>
          </w:tcPr>
          <w:p w14:paraId="7658E668" w14:textId="77777777" w:rsidR="00B022E7" w:rsidRPr="00D004C9" w:rsidRDefault="00B022E7" w:rsidP="00B022E7">
            <w:pPr>
              <w:keepNext/>
              <w:spacing w:line="240" w:lineRule="auto"/>
              <w:ind w:firstLine="0"/>
              <w:jc w:val="center"/>
              <w:rPr>
                <w:rFonts w:ascii="Calibri" w:eastAsia="Times New Roman" w:hAnsi="Calibri" w:cs="Times New Roman"/>
                <w:b/>
                <w:bCs/>
                <w:color w:val="000000"/>
                <w:sz w:val="22"/>
              </w:rPr>
            </w:pPr>
            <w:r w:rsidRPr="00D004C9">
              <w:rPr>
                <w:rFonts w:ascii="Calibri" w:eastAsia="Times New Roman" w:hAnsi="Calibri" w:cs="Times New Roman"/>
                <w:b/>
                <w:bCs/>
                <w:color w:val="000000"/>
                <w:sz w:val="22"/>
              </w:rPr>
              <w:t>91,57%</w:t>
            </w:r>
          </w:p>
        </w:tc>
        <w:tc>
          <w:tcPr>
            <w:tcW w:w="960" w:type="dxa"/>
            <w:tcBorders>
              <w:top w:val="nil"/>
              <w:left w:val="nil"/>
              <w:bottom w:val="single" w:sz="4" w:space="0" w:color="auto"/>
              <w:right w:val="single" w:sz="12" w:space="0" w:color="auto"/>
            </w:tcBorders>
            <w:shd w:val="clear" w:color="000000" w:fill="D0CECE"/>
            <w:noWrap/>
            <w:vAlign w:val="bottom"/>
            <w:hideMark/>
          </w:tcPr>
          <w:p w14:paraId="4B8C2389" w14:textId="77777777" w:rsidR="00B022E7" w:rsidRPr="00D004C9" w:rsidRDefault="00B022E7" w:rsidP="00B022E7">
            <w:pPr>
              <w:keepNext/>
              <w:spacing w:line="240" w:lineRule="auto"/>
              <w:ind w:firstLine="0"/>
              <w:jc w:val="center"/>
              <w:rPr>
                <w:rFonts w:ascii="Calibri" w:eastAsia="Times New Roman" w:hAnsi="Calibri" w:cs="Times New Roman"/>
                <w:b/>
                <w:bCs/>
                <w:color w:val="000000"/>
                <w:sz w:val="22"/>
              </w:rPr>
            </w:pPr>
            <w:r w:rsidRPr="00D004C9">
              <w:rPr>
                <w:rFonts w:ascii="Calibri" w:eastAsia="Times New Roman" w:hAnsi="Calibri" w:cs="Times New Roman"/>
                <w:b/>
                <w:bCs/>
                <w:color w:val="000000"/>
                <w:sz w:val="22"/>
              </w:rPr>
              <w:t>8,26%</w:t>
            </w:r>
          </w:p>
        </w:tc>
      </w:tr>
      <w:tr w:rsidR="00B022E7" w:rsidRPr="00D004C9" w14:paraId="51950DD5"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4CCE3E42" w14:textId="281161E8" w:rsidR="00B022E7" w:rsidRPr="00D004C9"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color w:val="000000"/>
                <w:sz w:val="22"/>
              </w:rPr>
              <w:t>Vydané texty</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noviny</w:t>
            </w:r>
          </w:p>
        </w:tc>
        <w:tc>
          <w:tcPr>
            <w:tcW w:w="960" w:type="dxa"/>
            <w:tcBorders>
              <w:top w:val="nil"/>
              <w:left w:val="nil"/>
              <w:bottom w:val="single" w:sz="4" w:space="0" w:color="auto"/>
              <w:right w:val="single" w:sz="4" w:space="0" w:color="auto"/>
            </w:tcBorders>
            <w:shd w:val="clear" w:color="auto" w:fill="auto"/>
            <w:noWrap/>
            <w:vAlign w:val="bottom"/>
            <w:hideMark/>
          </w:tcPr>
          <w:p w14:paraId="1F375833"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93F576C"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96,03%</w:t>
            </w:r>
          </w:p>
        </w:tc>
        <w:tc>
          <w:tcPr>
            <w:tcW w:w="960" w:type="dxa"/>
            <w:tcBorders>
              <w:top w:val="nil"/>
              <w:left w:val="nil"/>
              <w:bottom w:val="single" w:sz="4" w:space="0" w:color="auto"/>
              <w:right w:val="single" w:sz="12" w:space="0" w:color="auto"/>
            </w:tcBorders>
            <w:shd w:val="clear" w:color="auto" w:fill="auto"/>
            <w:noWrap/>
            <w:vAlign w:val="bottom"/>
            <w:hideMark/>
          </w:tcPr>
          <w:p w14:paraId="7E099B3A"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3,97%</w:t>
            </w:r>
          </w:p>
        </w:tc>
      </w:tr>
      <w:tr w:rsidR="00B022E7" w:rsidRPr="00D004C9" w14:paraId="7664CBBE"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5E4097B1" w14:textId="310C3FDF" w:rsidR="00B022E7" w:rsidRPr="00D004C9"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color w:val="000000"/>
                <w:sz w:val="22"/>
              </w:rPr>
              <w:t>Vydané texty</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knihy</w:t>
            </w:r>
          </w:p>
        </w:tc>
        <w:tc>
          <w:tcPr>
            <w:tcW w:w="960" w:type="dxa"/>
            <w:tcBorders>
              <w:top w:val="nil"/>
              <w:left w:val="nil"/>
              <w:bottom w:val="single" w:sz="4" w:space="0" w:color="auto"/>
              <w:right w:val="single" w:sz="4" w:space="0" w:color="auto"/>
            </w:tcBorders>
            <w:shd w:val="clear" w:color="auto" w:fill="auto"/>
            <w:noWrap/>
            <w:vAlign w:val="bottom"/>
            <w:hideMark/>
          </w:tcPr>
          <w:p w14:paraId="6F08500B"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0,15%</w:t>
            </w:r>
          </w:p>
        </w:tc>
        <w:tc>
          <w:tcPr>
            <w:tcW w:w="960" w:type="dxa"/>
            <w:tcBorders>
              <w:top w:val="nil"/>
              <w:left w:val="nil"/>
              <w:bottom w:val="single" w:sz="4" w:space="0" w:color="auto"/>
              <w:right w:val="single" w:sz="4" w:space="0" w:color="auto"/>
            </w:tcBorders>
            <w:shd w:val="clear" w:color="auto" w:fill="auto"/>
            <w:noWrap/>
            <w:vAlign w:val="bottom"/>
            <w:hideMark/>
          </w:tcPr>
          <w:p w14:paraId="2CF3A1AB"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91,10%</w:t>
            </w:r>
          </w:p>
        </w:tc>
        <w:tc>
          <w:tcPr>
            <w:tcW w:w="960" w:type="dxa"/>
            <w:tcBorders>
              <w:top w:val="nil"/>
              <w:left w:val="nil"/>
              <w:bottom w:val="single" w:sz="4" w:space="0" w:color="auto"/>
              <w:right w:val="single" w:sz="12" w:space="0" w:color="auto"/>
            </w:tcBorders>
            <w:shd w:val="clear" w:color="auto" w:fill="auto"/>
            <w:noWrap/>
            <w:vAlign w:val="bottom"/>
            <w:hideMark/>
          </w:tcPr>
          <w:p w14:paraId="198DF7B6"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8,75%</w:t>
            </w:r>
          </w:p>
        </w:tc>
      </w:tr>
      <w:tr w:rsidR="00B022E7" w:rsidRPr="00D004C9" w14:paraId="2B4797C2" w14:textId="77777777" w:rsidTr="00B276B7">
        <w:trPr>
          <w:cantSplit/>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13E934EF" w14:textId="67DB605D" w:rsidR="00B022E7" w:rsidRPr="00D004C9"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color w:val="000000"/>
                <w:sz w:val="22"/>
              </w:rPr>
              <w:t>Vydané texty</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časopisy</w:t>
            </w:r>
          </w:p>
        </w:tc>
        <w:tc>
          <w:tcPr>
            <w:tcW w:w="960" w:type="dxa"/>
            <w:tcBorders>
              <w:top w:val="nil"/>
              <w:left w:val="nil"/>
              <w:bottom w:val="single" w:sz="4" w:space="0" w:color="auto"/>
              <w:right w:val="single" w:sz="4" w:space="0" w:color="auto"/>
            </w:tcBorders>
            <w:shd w:val="clear" w:color="auto" w:fill="auto"/>
            <w:noWrap/>
            <w:vAlign w:val="bottom"/>
            <w:hideMark/>
          </w:tcPr>
          <w:p w14:paraId="74A06081"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0,40%</w:t>
            </w:r>
          </w:p>
        </w:tc>
        <w:tc>
          <w:tcPr>
            <w:tcW w:w="960" w:type="dxa"/>
            <w:tcBorders>
              <w:top w:val="nil"/>
              <w:left w:val="nil"/>
              <w:bottom w:val="single" w:sz="4" w:space="0" w:color="auto"/>
              <w:right w:val="single" w:sz="4" w:space="0" w:color="auto"/>
            </w:tcBorders>
            <w:shd w:val="clear" w:color="auto" w:fill="auto"/>
            <w:noWrap/>
            <w:vAlign w:val="bottom"/>
            <w:hideMark/>
          </w:tcPr>
          <w:p w14:paraId="47A33118"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94,32%</w:t>
            </w:r>
          </w:p>
        </w:tc>
        <w:tc>
          <w:tcPr>
            <w:tcW w:w="960" w:type="dxa"/>
            <w:tcBorders>
              <w:top w:val="nil"/>
              <w:left w:val="nil"/>
              <w:bottom w:val="single" w:sz="4" w:space="0" w:color="auto"/>
              <w:right w:val="single" w:sz="12" w:space="0" w:color="auto"/>
            </w:tcBorders>
            <w:shd w:val="clear" w:color="auto" w:fill="auto"/>
            <w:noWrap/>
            <w:vAlign w:val="bottom"/>
            <w:hideMark/>
          </w:tcPr>
          <w:p w14:paraId="5A9F45DA"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5,28%</w:t>
            </w:r>
          </w:p>
        </w:tc>
      </w:tr>
      <w:tr w:rsidR="00B022E7" w:rsidRPr="00D004C9" w14:paraId="451E7A56" w14:textId="77777777" w:rsidTr="00B276B7">
        <w:trPr>
          <w:cantSplit/>
          <w:trHeight w:val="315"/>
        </w:trPr>
        <w:tc>
          <w:tcPr>
            <w:tcW w:w="2800" w:type="dxa"/>
            <w:tcBorders>
              <w:top w:val="nil"/>
              <w:left w:val="single" w:sz="12" w:space="0" w:color="auto"/>
              <w:bottom w:val="single" w:sz="4" w:space="0" w:color="auto"/>
              <w:right w:val="single" w:sz="4" w:space="0" w:color="auto"/>
            </w:tcBorders>
            <w:shd w:val="clear" w:color="000000" w:fill="D0CECE"/>
            <w:noWrap/>
            <w:vAlign w:val="bottom"/>
            <w:hideMark/>
          </w:tcPr>
          <w:p w14:paraId="7495C5F7" w14:textId="1E11AEAB" w:rsidR="00B022E7" w:rsidRPr="00D004C9" w:rsidRDefault="00B022E7" w:rsidP="000949FC">
            <w:pPr>
              <w:keepNext/>
              <w:spacing w:line="240" w:lineRule="auto"/>
              <w:ind w:firstLine="0"/>
              <w:jc w:val="left"/>
              <w:rPr>
                <w:rFonts w:ascii="Calibri" w:eastAsia="Times New Roman" w:hAnsi="Calibri" w:cs="Times New Roman"/>
                <w:b/>
                <w:bCs/>
                <w:color w:val="000000"/>
                <w:sz w:val="22"/>
              </w:rPr>
            </w:pPr>
            <w:r w:rsidRPr="00E33A61">
              <w:rPr>
                <w:rFonts w:asciiTheme="minorHAnsi" w:eastAsia="Times New Roman" w:hAnsiTheme="minorHAnsi" w:cs="ＭＳ ゴシック"/>
                <w:b/>
                <w:bCs/>
                <w:color w:val="000000"/>
                <w:sz w:val="22"/>
              </w:rPr>
              <w:t xml:space="preserve">Knihy v </w:t>
            </w:r>
            <w:r w:rsidR="000949FC">
              <w:rPr>
                <w:rFonts w:asciiTheme="minorHAnsi" w:eastAsia="Times New Roman" w:hAnsiTheme="minorHAnsi" w:cs="ＭＳ ゴシック"/>
                <w:b/>
                <w:bCs/>
                <w:color w:val="000000"/>
                <w:sz w:val="22"/>
              </w:rPr>
              <w:t>knihovnách</w:t>
            </w:r>
          </w:p>
        </w:tc>
        <w:tc>
          <w:tcPr>
            <w:tcW w:w="960" w:type="dxa"/>
            <w:tcBorders>
              <w:top w:val="nil"/>
              <w:left w:val="nil"/>
              <w:bottom w:val="single" w:sz="4" w:space="0" w:color="auto"/>
              <w:right w:val="single" w:sz="4" w:space="0" w:color="auto"/>
            </w:tcBorders>
            <w:shd w:val="clear" w:color="000000" w:fill="D0CECE"/>
            <w:noWrap/>
            <w:vAlign w:val="bottom"/>
            <w:hideMark/>
          </w:tcPr>
          <w:p w14:paraId="30D8826D" w14:textId="77777777" w:rsidR="00B022E7" w:rsidRPr="00D004C9" w:rsidRDefault="00B022E7" w:rsidP="00B022E7">
            <w:pPr>
              <w:keepNext/>
              <w:spacing w:line="240" w:lineRule="auto"/>
              <w:ind w:firstLine="0"/>
              <w:jc w:val="center"/>
              <w:rPr>
                <w:rFonts w:ascii="Calibri" w:eastAsia="Times New Roman" w:hAnsi="Calibri" w:cs="Times New Roman"/>
                <w:b/>
                <w:bCs/>
                <w:color w:val="000000"/>
                <w:sz w:val="22"/>
              </w:rPr>
            </w:pPr>
            <w:r w:rsidRPr="00D004C9">
              <w:rPr>
                <w:rFonts w:ascii="Calibri" w:eastAsia="Times New Roman" w:hAnsi="Calibri" w:cs="Times New Roman"/>
                <w:b/>
                <w:bCs/>
                <w:color w:val="000000"/>
                <w:sz w:val="22"/>
              </w:rPr>
              <w:t>0,04%</w:t>
            </w:r>
          </w:p>
        </w:tc>
        <w:tc>
          <w:tcPr>
            <w:tcW w:w="960" w:type="dxa"/>
            <w:tcBorders>
              <w:top w:val="nil"/>
              <w:left w:val="nil"/>
              <w:bottom w:val="single" w:sz="4" w:space="0" w:color="auto"/>
              <w:right w:val="single" w:sz="4" w:space="0" w:color="auto"/>
            </w:tcBorders>
            <w:shd w:val="clear" w:color="000000" w:fill="D0CECE"/>
            <w:noWrap/>
            <w:vAlign w:val="bottom"/>
            <w:hideMark/>
          </w:tcPr>
          <w:p w14:paraId="7D106670" w14:textId="77777777" w:rsidR="00B022E7" w:rsidRPr="00D004C9" w:rsidRDefault="00B022E7" w:rsidP="00B022E7">
            <w:pPr>
              <w:keepNext/>
              <w:spacing w:line="240" w:lineRule="auto"/>
              <w:ind w:firstLine="0"/>
              <w:jc w:val="center"/>
              <w:rPr>
                <w:rFonts w:ascii="Calibri" w:eastAsia="Times New Roman" w:hAnsi="Calibri" w:cs="Times New Roman"/>
                <w:b/>
                <w:bCs/>
                <w:color w:val="000000"/>
                <w:sz w:val="22"/>
              </w:rPr>
            </w:pPr>
            <w:r w:rsidRPr="00D004C9">
              <w:rPr>
                <w:rFonts w:ascii="Calibri" w:eastAsia="Times New Roman" w:hAnsi="Calibri" w:cs="Times New Roman"/>
                <w:b/>
                <w:bCs/>
                <w:color w:val="000000"/>
                <w:sz w:val="22"/>
              </w:rPr>
              <w:t>92,31%</w:t>
            </w:r>
          </w:p>
        </w:tc>
        <w:tc>
          <w:tcPr>
            <w:tcW w:w="960" w:type="dxa"/>
            <w:tcBorders>
              <w:top w:val="nil"/>
              <w:left w:val="nil"/>
              <w:bottom w:val="single" w:sz="4" w:space="0" w:color="auto"/>
              <w:right w:val="single" w:sz="12" w:space="0" w:color="auto"/>
            </w:tcBorders>
            <w:shd w:val="clear" w:color="000000" w:fill="D0CECE"/>
            <w:noWrap/>
            <w:vAlign w:val="bottom"/>
            <w:hideMark/>
          </w:tcPr>
          <w:p w14:paraId="7936C487" w14:textId="77777777" w:rsidR="00B022E7" w:rsidRPr="00D004C9" w:rsidRDefault="00B022E7" w:rsidP="00B022E7">
            <w:pPr>
              <w:keepNext/>
              <w:spacing w:line="240" w:lineRule="auto"/>
              <w:ind w:firstLine="0"/>
              <w:jc w:val="center"/>
              <w:rPr>
                <w:rFonts w:ascii="Calibri" w:eastAsia="Times New Roman" w:hAnsi="Calibri" w:cs="Times New Roman"/>
                <w:b/>
                <w:bCs/>
                <w:color w:val="000000"/>
                <w:sz w:val="22"/>
              </w:rPr>
            </w:pPr>
            <w:r w:rsidRPr="00D004C9">
              <w:rPr>
                <w:rFonts w:ascii="Calibri" w:eastAsia="Times New Roman" w:hAnsi="Calibri" w:cs="Times New Roman"/>
                <w:b/>
                <w:bCs/>
                <w:color w:val="000000"/>
                <w:sz w:val="22"/>
              </w:rPr>
              <w:t>7,66%</w:t>
            </w:r>
          </w:p>
        </w:tc>
      </w:tr>
      <w:tr w:rsidR="00B022E7" w:rsidRPr="00D004C9" w14:paraId="31CCBBDA"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000000" w:fill="D0CECE"/>
            <w:noWrap/>
            <w:vAlign w:val="bottom"/>
            <w:hideMark/>
          </w:tcPr>
          <w:p w14:paraId="3D48027E" w14:textId="0D8E26FC" w:rsidR="00B022E7" w:rsidRPr="00D004C9" w:rsidRDefault="00B022E7" w:rsidP="00B022E7">
            <w:pPr>
              <w:keepNext/>
              <w:spacing w:line="240" w:lineRule="auto"/>
              <w:ind w:firstLine="0"/>
              <w:jc w:val="left"/>
              <w:rPr>
                <w:rFonts w:ascii="Calibri" w:eastAsia="Times New Roman" w:hAnsi="Calibri" w:cs="Times New Roman"/>
                <w:b/>
                <w:bCs/>
                <w:color w:val="000000"/>
                <w:sz w:val="22"/>
              </w:rPr>
            </w:pPr>
            <w:r w:rsidRPr="00E33A61">
              <w:rPr>
                <w:rFonts w:asciiTheme="minorHAnsi" w:eastAsia="Times New Roman" w:hAnsiTheme="minorHAnsi" w:cs="ＭＳ ゴシック"/>
                <w:b/>
                <w:bCs/>
                <w:color w:val="000000"/>
                <w:sz w:val="22"/>
              </w:rPr>
              <w:t>Ostatní</w:t>
            </w:r>
            <w:r w:rsidR="00402F55">
              <w:rPr>
                <w:rFonts w:asciiTheme="minorHAnsi" w:eastAsia="Times New Roman" w:hAnsiTheme="minorHAnsi" w:cs="ＭＳ ゴシック"/>
                <w:b/>
                <w:bCs/>
                <w:color w:val="000000"/>
                <w:sz w:val="22"/>
              </w:rPr>
              <w:t xml:space="preserve"> texty</w:t>
            </w:r>
          </w:p>
        </w:tc>
        <w:tc>
          <w:tcPr>
            <w:tcW w:w="960" w:type="dxa"/>
            <w:tcBorders>
              <w:top w:val="nil"/>
              <w:left w:val="nil"/>
              <w:bottom w:val="single" w:sz="4" w:space="0" w:color="auto"/>
              <w:right w:val="single" w:sz="4" w:space="0" w:color="auto"/>
            </w:tcBorders>
            <w:shd w:val="clear" w:color="000000" w:fill="D0CECE"/>
            <w:noWrap/>
            <w:vAlign w:val="bottom"/>
            <w:hideMark/>
          </w:tcPr>
          <w:p w14:paraId="0E948008" w14:textId="77777777" w:rsidR="00B022E7" w:rsidRPr="00D004C9" w:rsidRDefault="00B022E7" w:rsidP="00B022E7">
            <w:pPr>
              <w:keepNext/>
              <w:spacing w:line="240" w:lineRule="auto"/>
              <w:ind w:firstLine="0"/>
              <w:jc w:val="center"/>
              <w:rPr>
                <w:rFonts w:ascii="Calibri" w:eastAsia="Times New Roman" w:hAnsi="Calibri" w:cs="Times New Roman"/>
                <w:b/>
                <w:bCs/>
                <w:color w:val="000000"/>
                <w:sz w:val="22"/>
              </w:rPr>
            </w:pPr>
            <w:r w:rsidRPr="00D004C9">
              <w:rPr>
                <w:rFonts w:ascii="Calibri" w:eastAsia="Times New Roman" w:hAnsi="Calibri" w:cs="Times New Roman"/>
                <w:b/>
                <w:bCs/>
                <w:color w:val="000000"/>
                <w:sz w:val="22"/>
              </w:rPr>
              <w:t>0,58%</w:t>
            </w:r>
          </w:p>
        </w:tc>
        <w:tc>
          <w:tcPr>
            <w:tcW w:w="960" w:type="dxa"/>
            <w:tcBorders>
              <w:top w:val="nil"/>
              <w:left w:val="nil"/>
              <w:bottom w:val="single" w:sz="4" w:space="0" w:color="auto"/>
              <w:right w:val="single" w:sz="4" w:space="0" w:color="auto"/>
            </w:tcBorders>
            <w:shd w:val="clear" w:color="000000" w:fill="D0CECE"/>
            <w:noWrap/>
            <w:vAlign w:val="bottom"/>
            <w:hideMark/>
          </w:tcPr>
          <w:p w14:paraId="720067BA" w14:textId="77777777" w:rsidR="00B022E7" w:rsidRPr="00D004C9" w:rsidRDefault="00B022E7" w:rsidP="00B022E7">
            <w:pPr>
              <w:keepNext/>
              <w:spacing w:line="240" w:lineRule="auto"/>
              <w:ind w:firstLine="0"/>
              <w:jc w:val="center"/>
              <w:rPr>
                <w:rFonts w:ascii="Calibri" w:eastAsia="Times New Roman" w:hAnsi="Calibri" w:cs="Times New Roman"/>
                <w:b/>
                <w:bCs/>
                <w:color w:val="000000"/>
                <w:sz w:val="22"/>
              </w:rPr>
            </w:pPr>
            <w:r w:rsidRPr="00D004C9">
              <w:rPr>
                <w:rFonts w:ascii="Calibri" w:eastAsia="Times New Roman" w:hAnsi="Calibri" w:cs="Times New Roman"/>
                <w:b/>
                <w:bCs/>
                <w:color w:val="000000"/>
                <w:sz w:val="22"/>
              </w:rPr>
              <w:t>93,06%</w:t>
            </w:r>
          </w:p>
        </w:tc>
        <w:tc>
          <w:tcPr>
            <w:tcW w:w="960" w:type="dxa"/>
            <w:tcBorders>
              <w:top w:val="nil"/>
              <w:left w:val="nil"/>
              <w:bottom w:val="single" w:sz="4" w:space="0" w:color="auto"/>
              <w:right w:val="single" w:sz="12" w:space="0" w:color="auto"/>
            </w:tcBorders>
            <w:shd w:val="clear" w:color="000000" w:fill="D0CECE"/>
            <w:noWrap/>
            <w:vAlign w:val="bottom"/>
            <w:hideMark/>
          </w:tcPr>
          <w:p w14:paraId="14984CF3" w14:textId="77777777" w:rsidR="00B022E7" w:rsidRPr="00D004C9" w:rsidRDefault="00B022E7" w:rsidP="00B022E7">
            <w:pPr>
              <w:keepNext/>
              <w:spacing w:line="240" w:lineRule="auto"/>
              <w:ind w:firstLine="0"/>
              <w:jc w:val="center"/>
              <w:rPr>
                <w:rFonts w:ascii="Calibri" w:eastAsia="Times New Roman" w:hAnsi="Calibri" w:cs="Times New Roman"/>
                <w:b/>
                <w:bCs/>
                <w:color w:val="000000"/>
                <w:sz w:val="22"/>
              </w:rPr>
            </w:pPr>
            <w:r w:rsidRPr="00D004C9">
              <w:rPr>
                <w:rFonts w:ascii="Calibri" w:eastAsia="Times New Roman" w:hAnsi="Calibri" w:cs="Times New Roman"/>
                <w:b/>
                <w:bCs/>
                <w:color w:val="000000"/>
                <w:sz w:val="22"/>
              </w:rPr>
              <w:t>6,37%</w:t>
            </w:r>
          </w:p>
        </w:tc>
      </w:tr>
      <w:tr w:rsidR="00B022E7" w:rsidRPr="00D004C9" w14:paraId="7DAB0872"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164F6F2B" w14:textId="4963E5D4" w:rsidR="00B022E7" w:rsidRPr="00D004C9"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blogy</w:t>
            </w:r>
          </w:p>
        </w:tc>
        <w:tc>
          <w:tcPr>
            <w:tcW w:w="960" w:type="dxa"/>
            <w:tcBorders>
              <w:top w:val="nil"/>
              <w:left w:val="nil"/>
              <w:bottom w:val="single" w:sz="4" w:space="0" w:color="auto"/>
              <w:right w:val="single" w:sz="4" w:space="0" w:color="auto"/>
            </w:tcBorders>
            <w:shd w:val="clear" w:color="auto" w:fill="auto"/>
            <w:noWrap/>
            <w:vAlign w:val="bottom"/>
            <w:hideMark/>
          </w:tcPr>
          <w:p w14:paraId="0068775A"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2,34%</w:t>
            </w:r>
          </w:p>
        </w:tc>
        <w:tc>
          <w:tcPr>
            <w:tcW w:w="960" w:type="dxa"/>
            <w:tcBorders>
              <w:top w:val="nil"/>
              <w:left w:val="nil"/>
              <w:bottom w:val="single" w:sz="4" w:space="0" w:color="auto"/>
              <w:right w:val="single" w:sz="4" w:space="0" w:color="auto"/>
            </w:tcBorders>
            <w:shd w:val="clear" w:color="auto" w:fill="auto"/>
            <w:noWrap/>
            <w:vAlign w:val="bottom"/>
            <w:hideMark/>
          </w:tcPr>
          <w:p w14:paraId="42B76A0C"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85,80%</w:t>
            </w:r>
          </w:p>
        </w:tc>
        <w:tc>
          <w:tcPr>
            <w:tcW w:w="960" w:type="dxa"/>
            <w:tcBorders>
              <w:top w:val="nil"/>
              <w:left w:val="nil"/>
              <w:bottom w:val="single" w:sz="4" w:space="0" w:color="auto"/>
              <w:right w:val="single" w:sz="12" w:space="0" w:color="auto"/>
            </w:tcBorders>
            <w:shd w:val="clear" w:color="auto" w:fill="auto"/>
            <w:noWrap/>
            <w:vAlign w:val="bottom"/>
            <w:hideMark/>
          </w:tcPr>
          <w:p w14:paraId="116C2A9A"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11,86%</w:t>
            </w:r>
          </w:p>
        </w:tc>
      </w:tr>
      <w:tr w:rsidR="00B022E7" w:rsidRPr="00D004C9" w14:paraId="7921E868"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256FE797" w14:textId="55148DB2" w:rsidR="00B022E7" w:rsidRPr="00D004C9"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bestselery</w:t>
            </w:r>
          </w:p>
        </w:tc>
        <w:tc>
          <w:tcPr>
            <w:tcW w:w="960" w:type="dxa"/>
            <w:tcBorders>
              <w:top w:val="nil"/>
              <w:left w:val="nil"/>
              <w:bottom w:val="single" w:sz="4" w:space="0" w:color="auto"/>
              <w:right w:val="single" w:sz="4" w:space="0" w:color="auto"/>
            </w:tcBorders>
            <w:shd w:val="clear" w:color="auto" w:fill="auto"/>
            <w:noWrap/>
            <w:vAlign w:val="bottom"/>
            <w:hideMark/>
          </w:tcPr>
          <w:p w14:paraId="51144E2B"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0,13%</w:t>
            </w:r>
          </w:p>
        </w:tc>
        <w:tc>
          <w:tcPr>
            <w:tcW w:w="960" w:type="dxa"/>
            <w:tcBorders>
              <w:top w:val="nil"/>
              <w:left w:val="nil"/>
              <w:bottom w:val="single" w:sz="4" w:space="0" w:color="auto"/>
              <w:right w:val="single" w:sz="4" w:space="0" w:color="auto"/>
            </w:tcBorders>
            <w:shd w:val="clear" w:color="auto" w:fill="auto"/>
            <w:noWrap/>
            <w:vAlign w:val="bottom"/>
            <w:hideMark/>
          </w:tcPr>
          <w:p w14:paraId="130797F3"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91,03%</w:t>
            </w:r>
          </w:p>
        </w:tc>
        <w:tc>
          <w:tcPr>
            <w:tcW w:w="960" w:type="dxa"/>
            <w:tcBorders>
              <w:top w:val="nil"/>
              <w:left w:val="nil"/>
              <w:bottom w:val="single" w:sz="4" w:space="0" w:color="auto"/>
              <w:right w:val="single" w:sz="12" w:space="0" w:color="auto"/>
            </w:tcBorders>
            <w:shd w:val="clear" w:color="auto" w:fill="auto"/>
            <w:noWrap/>
            <w:vAlign w:val="bottom"/>
            <w:hideMark/>
          </w:tcPr>
          <w:p w14:paraId="255CEDF7"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8,84%</w:t>
            </w:r>
          </w:p>
        </w:tc>
      </w:tr>
      <w:tr w:rsidR="00B022E7" w:rsidRPr="00D004C9" w14:paraId="2BE95D0E"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24DDC928" w14:textId="02061044" w:rsidR="00B022E7" w:rsidRPr="00D004C9"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vládní jednání</w:t>
            </w:r>
          </w:p>
        </w:tc>
        <w:tc>
          <w:tcPr>
            <w:tcW w:w="960" w:type="dxa"/>
            <w:tcBorders>
              <w:top w:val="nil"/>
              <w:left w:val="nil"/>
              <w:bottom w:val="single" w:sz="4" w:space="0" w:color="auto"/>
              <w:right w:val="single" w:sz="4" w:space="0" w:color="auto"/>
            </w:tcBorders>
            <w:shd w:val="clear" w:color="auto" w:fill="auto"/>
            <w:noWrap/>
            <w:vAlign w:val="bottom"/>
            <w:hideMark/>
          </w:tcPr>
          <w:p w14:paraId="6B7AC23E"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F7AC5FF"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99,18%</w:t>
            </w:r>
          </w:p>
        </w:tc>
        <w:tc>
          <w:tcPr>
            <w:tcW w:w="960" w:type="dxa"/>
            <w:tcBorders>
              <w:top w:val="nil"/>
              <w:left w:val="nil"/>
              <w:bottom w:val="single" w:sz="4" w:space="0" w:color="auto"/>
              <w:right w:val="single" w:sz="12" w:space="0" w:color="auto"/>
            </w:tcBorders>
            <w:shd w:val="clear" w:color="auto" w:fill="auto"/>
            <w:noWrap/>
            <w:vAlign w:val="bottom"/>
            <w:hideMark/>
          </w:tcPr>
          <w:p w14:paraId="040AC30C"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0,82%</w:t>
            </w:r>
          </w:p>
        </w:tc>
      </w:tr>
      <w:tr w:rsidR="00B022E7" w:rsidRPr="00D004C9" w14:paraId="34C2325B"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32A3B6AE" w14:textId="565C7694" w:rsidR="00B022E7" w:rsidRPr="00D004C9"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1"/>
                <w:szCs w:val="21"/>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1"/>
                <w:szCs w:val="21"/>
              </w:rPr>
              <w:t>informační bulletiny</w:t>
            </w:r>
          </w:p>
        </w:tc>
        <w:tc>
          <w:tcPr>
            <w:tcW w:w="960" w:type="dxa"/>
            <w:tcBorders>
              <w:top w:val="nil"/>
              <w:left w:val="nil"/>
              <w:bottom w:val="single" w:sz="4" w:space="0" w:color="auto"/>
              <w:right w:val="single" w:sz="4" w:space="0" w:color="auto"/>
            </w:tcBorders>
            <w:shd w:val="clear" w:color="auto" w:fill="auto"/>
            <w:noWrap/>
            <w:vAlign w:val="bottom"/>
            <w:hideMark/>
          </w:tcPr>
          <w:p w14:paraId="4DA40DD2"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0,17%</w:t>
            </w:r>
          </w:p>
        </w:tc>
        <w:tc>
          <w:tcPr>
            <w:tcW w:w="960" w:type="dxa"/>
            <w:tcBorders>
              <w:top w:val="nil"/>
              <w:left w:val="nil"/>
              <w:bottom w:val="single" w:sz="4" w:space="0" w:color="auto"/>
              <w:right w:val="single" w:sz="4" w:space="0" w:color="auto"/>
            </w:tcBorders>
            <w:shd w:val="clear" w:color="auto" w:fill="auto"/>
            <w:noWrap/>
            <w:vAlign w:val="bottom"/>
            <w:hideMark/>
          </w:tcPr>
          <w:p w14:paraId="29B31E9C"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95,78%</w:t>
            </w:r>
          </w:p>
        </w:tc>
        <w:tc>
          <w:tcPr>
            <w:tcW w:w="960" w:type="dxa"/>
            <w:tcBorders>
              <w:top w:val="nil"/>
              <w:left w:val="nil"/>
              <w:bottom w:val="single" w:sz="4" w:space="0" w:color="auto"/>
              <w:right w:val="single" w:sz="12" w:space="0" w:color="auto"/>
            </w:tcBorders>
            <w:shd w:val="clear" w:color="auto" w:fill="auto"/>
            <w:noWrap/>
            <w:vAlign w:val="bottom"/>
            <w:hideMark/>
          </w:tcPr>
          <w:p w14:paraId="57AA2109"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4,05%</w:t>
            </w:r>
          </w:p>
        </w:tc>
      </w:tr>
      <w:tr w:rsidR="00B022E7" w:rsidRPr="00D004C9" w14:paraId="1B80A5F0"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1912AFF7" w14:textId="45A6DC98" w:rsidR="00B022E7" w:rsidRPr="00D004C9"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učebnice</w:t>
            </w:r>
          </w:p>
        </w:tc>
        <w:tc>
          <w:tcPr>
            <w:tcW w:w="960" w:type="dxa"/>
            <w:tcBorders>
              <w:top w:val="nil"/>
              <w:left w:val="nil"/>
              <w:bottom w:val="single" w:sz="4" w:space="0" w:color="auto"/>
              <w:right w:val="single" w:sz="4" w:space="0" w:color="auto"/>
            </w:tcBorders>
            <w:shd w:val="clear" w:color="auto" w:fill="auto"/>
            <w:noWrap/>
            <w:vAlign w:val="bottom"/>
            <w:hideMark/>
          </w:tcPr>
          <w:p w14:paraId="7CF56793"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D93723A"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95,88%</w:t>
            </w:r>
          </w:p>
        </w:tc>
        <w:tc>
          <w:tcPr>
            <w:tcW w:w="960" w:type="dxa"/>
            <w:tcBorders>
              <w:top w:val="nil"/>
              <w:left w:val="nil"/>
              <w:bottom w:val="single" w:sz="4" w:space="0" w:color="auto"/>
              <w:right w:val="single" w:sz="12" w:space="0" w:color="auto"/>
            </w:tcBorders>
            <w:shd w:val="clear" w:color="auto" w:fill="auto"/>
            <w:noWrap/>
            <w:vAlign w:val="bottom"/>
            <w:hideMark/>
          </w:tcPr>
          <w:p w14:paraId="4C9216C7"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4,12%</w:t>
            </w:r>
          </w:p>
        </w:tc>
      </w:tr>
      <w:tr w:rsidR="00B022E7" w:rsidRPr="00D004C9" w14:paraId="3F27CBCC"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316AB344" w14:textId="6A10105A" w:rsidR="00B022E7" w:rsidRPr="00D004C9"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00402F55">
              <w:rPr>
                <w:rFonts w:asciiTheme="minorHAnsi" w:eastAsia="Times New Roman" w:hAnsiTheme="minorHAnsi" w:cs="ＭＳ ゴシック"/>
                <w:color w:val="000000"/>
                <w:sz w:val="22"/>
              </w:rPr>
              <w:t>zákoníky</w:t>
            </w:r>
          </w:p>
        </w:tc>
        <w:tc>
          <w:tcPr>
            <w:tcW w:w="960" w:type="dxa"/>
            <w:tcBorders>
              <w:top w:val="nil"/>
              <w:left w:val="nil"/>
              <w:bottom w:val="single" w:sz="4" w:space="0" w:color="auto"/>
              <w:right w:val="single" w:sz="4" w:space="0" w:color="auto"/>
            </w:tcBorders>
            <w:shd w:val="clear" w:color="auto" w:fill="auto"/>
            <w:noWrap/>
            <w:vAlign w:val="bottom"/>
            <w:hideMark/>
          </w:tcPr>
          <w:p w14:paraId="656C11B1"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DEF92E8"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99,26%</w:t>
            </w:r>
          </w:p>
        </w:tc>
        <w:tc>
          <w:tcPr>
            <w:tcW w:w="960" w:type="dxa"/>
            <w:tcBorders>
              <w:top w:val="nil"/>
              <w:left w:val="nil"/>
              <w:bottom w:val="single" w:sz="4" w:space="0" w:color="auto"/>
              <w:right w:val="single" w:sz="12" w:space="0" w:color="auto"/>
            </w:tcBorders>
            <w:shd w:val="clear" w:color="auto" w:fill="auto"/>
            <w:noWrap/>
            <w:vAlign w:val="bottom"/>
            <w:hideMark/>
          </w:tcPr>
          <w:p w14:paraId="6AE3C5CA"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0,74%</w:t>
            </w:r>
          </w:p>
        </w:tc>
      </w:tr>
      <w:tr w:rsidR="00B022E7" w:rsidRPr="00D004C9" w14:paraId="306FCE7F"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74C21CDC" w14:textId="72D42238" w:rsidR="00B022E7" w:rsidRPr="00D004C9"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vládní zprávy</w:t>
            </w:r>
          </w:p>
        </w:tc>
        <w:tc>
          <w:tcPr>
            <w:tcW w:w="960" w:type="dxa"/>
            <w:tcBorders>
              <w:top w:val="nil"/>
              <w:left w:val="nil"/>
              <w:bottom w:val="single" w:sz="4" w:space="0" w:color="auto"/>
              <w:right w:val="single" w:sz="4" w:space="0" w:color="auto"/>
            </w:tcBorders>
            <w:shd w:val="clear" w:color="auto" w:fill="auto"/>
            <w:noWrap/>
            <w:vAlign w:val="bottom"/>
            <w:hideMark/>
          </w:tcPr>
          <w:p w14:paraId="55DA1643"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A94E960"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99,05%</w:t>
            </w:r>
          </w:p>
        </w:tc>
        <w:tc>
          <w:tcPr>
            <w:tcW w:w="960" w:type="dxa"/>
            <w:tcBorders>
              <w:top w:val="nil"/>
              <w:left w:val="nil"/>
              <w:bottom w:val="single" w:sz="4" w:space="0" w:color="auto"/>
              <w:right w:val="single" w:sz="12" w:space="0" w:color="auto"/>
            </w:tcBorders>
            <w:shd w:val="clear" w:color="auto" w:fill="auto"/>
            <w:noWrap/>
            <w:vAlign w:val="bottom"/>
            <w:hideMark/>
          </w:tcPr>
          <w:p w14:paraId="2DC9C3F8"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0,95%</w:t>
            </w:r>
          </w:p>
        </w:tc>
      </w:tr>
      <w:tr w:rsidR="00B022E7" w:rsidRPr="00D004C9" w14:paraId="64D98589" w14:textId="77777777" w:rsidTr="00B276B7">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4C51A9F7" w14:textId="3E8DDEE4" w:rsidR="00B022E7" w:rsidRPr="00D004C9"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Čiebukuro</w:t>
            </w:r>
          </w:p>
        </w:tc>
        <w:tc>
          <w:tcPr>
            <w:tcW w:w="960" w:type="dxa"/>
            <w:tcBorders>
              <w:top w:val="nil"/>
              <w:left w:val="nil"/>
              <w:bottom w:val="single" w:sz="4" w:space="0" w:color="auto"/>
              <w:right w:val="single" w:sz="4" w:space="0" w:color="auto"/>
            </w:tcBorders>
            <w:shd w:val="clear" w:color="auto" w:fill="auto"/>
            <w:noWrap/>
            <w:vAlign w:val="bottom"/>
            <w:hideMark/>
          </w:tcPr>
          <w:p w14:paraId="73F23BAC"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0,56%</w:t>
            </w:r>
          </w:p>
        </w:tc>
        <w:tc>
          <w:tcPr>
            <w:tcW w:w="960" w:type="dxa"/>
            <w:tcBorders>
              <w:top w:val="nil"/>
              <w:left w:val="nil"/>
              <w:bottom w:val="single" w:sz="4" w:space="0" w:color="auto"/>
              <w:right w:val="single" w:sz="4" w:space="0" w:color="auto"/>
            </w:tcBorders>
            <w:shd w:val="clear" w:color="auto" w:fill="auto"/>
            <w:noWrap/>
            <w:vAlign w:val="bottom"/>
            <w:hideMark/>
          </w:tcPr>
          <w:p w14:paraId="2EE8389C"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87,67%</w:t>
            </w:r>
          </w:p>
        </w:tc>
        <w:tc>
          <w:tcPr>
            <w:tcW w:w="960" w:type="dxa"/>
            <w:tcBorders>
              <w:top w:val="nil"/>
              <w:left w:val="nil"/>
              <w:bottom w:val="single" w:sz="4" w:space="0" w:color="auto"/>
              <w:right w:val="single" w:sz="12" w:space="0" w:color="auto"/>
            </w:tcBorders>
            <w:shd w:val="clear" w:color="auto" w:fill="auto"/>
            <w:noWrap/>
            <w:vAlign w:val="bottom"/>
            <w:hideMark/>
          </w:tcPr>
          <w:p w14:paraId="1DD08DB8"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11,77%</w:t>
            </w:r>
          </w:p>
        </w:tc>
      </w:tr>
      <w:tr w:rsidR="00B022E7" w:rsidRPr="00D004C9" w14:paraId="491D9D06" w14:textId="77777777" w:rsidTr="00B276B7">
        <w:trPr>
          <w:cantSplit/>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07E4D3BB" w14:textId="7127DEC8" w:rsidR="00B022E7" w:rsidRPr="00D004C9"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verše</w:t>
            </w:r>
          </w:p>
        </w:tc>
        <w:tc>
          <w:tcPr>
            <w:tcW w:w="960" w:type="dxa"/>
            <w:tcBorders>
              <w:top w:val="nil"/>
              <w:left w:val="nil"/>
              <w:bottom w:val="single" w:sz="4" w:space="0" w:color="auto"/>
              <w:right w:val="single" w:sz="4" w:space="0" w:color="auto"/>
            </w:tcBorders>
            <w:shd w:val="clear" w:color="auto" w:fill="auto"/>
            <w:noWrap/>
            <w:vAlign w:val="bottom"/>
            <w:hideMark/>
          </w:tcPr>
          <w:p w14:paraId="709B632E"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438C909"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92,19%</w:t>
            </w:r>
          </w:p>
        </w:tc>
        <w:tc>
          <w:tcPr>
            <w:tcW w:w="960" w:type="dxa"/>
            <w:tcBorders>
              <w:top w:val="nil"/>
              <w:left w:val="nil"/>
              <w:bottom w:val="single" w:sz="4" w:space="0" w:color="auto"/>
              <w:right w:val="single" w:sz="12" w:space="0" w:color="auto"/>
            </w:tcBorders>
            <w:shd w:val="clear" w:color="auto" w:fill="auto"/>
            <w:noWrap/>
            <w:vAlign w:val="bottom"/>
            <w:hideMark/>
          </w:tcPr>
          <w:p w14:paraId="61851258" w14:textId="77777777" w:rsidR="00B022E7" w:rsidRPr="00D004C9" w:rsidRDefault="00B022E7" w:rsidP="00B022E7">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7,81%</w:t>
            </w:r>
          </w:p>
        </w:tc>
      </w:tr>
      <w:tr w:rsidR="00D004C9" w:rsidRPr="00D004C9" w14:paraId="151DF549" w14:textId="77777777" w:rsidTr="00B276B7">
        <w:trPr>
          <w:cantSplit/>
          <w:trHeight w:val="330"/>
        </w:trPr>
        <w:tc>
          <w:tcPr>
            <w:tcW w:w="2800" w:type="dxa"/>
            <w:tcBorders>
              <w:top w:val="nil"/>
              <w:left w:val="single" w:sz="12" w:space="0" w:color="auto"/>
              <w:bottom w:val="single" w:sz="12" w:space="0" w:color="auto"/>
              <w:right w:val="single" w:sz="4" w:space="0" w:color="auto"/>
            </w:tcBorders>
            <w:shd w:val="clear" w:color="000000" w:fill="BDD7EE"/>
            <w:noWrap/>
            <w:vAlign w:val="bottom"/>
            <w:hideMark/>
          </w:tcPr>
          <w:p w14:paraId="101DCDF8" w14:textId="77777777" w:rsidR="00D004C9" w:rsidRPr="00D004C9" w:rsidRDefault="00D004C9" w:rsidP="00B276B7">
            <w:pPr>
              <w:keepNext/>
              <w:spacing w:line="240" w:lineRule="auto"/>
              <w:ind w:firstLine="0"/>
              <w:jc w:val="left"/>
              <w:rPr>
                <w:rFonts w:ascii="Calibri" w:eastAsia="Times New Roman" w:hAnsi="Calibri" w:cs="Times New Roman"/>
                <w:b/>
                <w:bCs/>
                <w:color w:val="000000"/>
                <w:sz w:val="22"/>
              </w:rPr>
            </w:pPr>
            <w:r w:rsidRPr="00D004C9">
              <w:rPr>
                <w:rFonts w:ascii="Calibri" w:eastAsia="Times New Roman" w:hAnsi="Calibri" w:cs="Times New Roman"/>
                <w:b/>
                <w:bCs/>
                <w:color w:val="000000"/>
                <w:sz w:val="22"/>
              </w:rPr>
              <w:t>Celý korpus</w:t>
            </w:r>
          </w:p>
        </w:tc>
        <w:tc>
          <w:tcPr>
            <w:tcW w:w="960" w:type="dxa"/>
            <w:tcBorders>
              <w:top w:val="nil"/>
              <w:left w:val="nil"/>
              <w:bottom w:val="single" w:sz="12" w:space="0" w:color="auto"/>
              <w:right w:val="single" w:sz="4" w:space="0" w:color="auto"/>
            </w:tcBorders>
            <w:shd w:val="clear" w:color="000000" w:fill="D0CECE"/>
            <w:noWrap/>
            <w:vAlign w:val="bottom"/>
            <w:hideMark/>
          </w:tcPr>
          <w:p w14:paraId="62734DF3" w14:textId="77777777" w:rsidR="00D004C9" w:rsidRPr="00D004C9" w:rsidRDefault="00D004C9" w:rsidP="009450E2">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0,26%</w:t>
            </w:r>
          </w:p>
        </w:tc>
        <w:tc>
          <w:tcPr>
            <w:tcW w:w="960" w:type="dxa"/>
            <w:tcBorders>
              <w:top w:val="nil"/>
              <w:left w:val="nil"/>
              <w:bottom w:val="single" w:sz="12" w:space="0" w:color="auto"/>
              <w:right w:val="single" w:sz="4" w:space="0" w:color="auto"/>
            </w:tcBorders>
            <w:shd w:val="clear" w:color="000000" w:fill="D0CECE"/>
            <w:noWrap/>
            <w:vAlign w:val="bottom"/>
            <w:hideMark/>
          </w:tcPr>
          <w:p w14:paraId="7C825F94" w14:textId="77777777" w:rsidR="00D004C9" w:rsidRPr="00D004C9" w:rsidRDefault="00D004C9" w:rsidP="009450E2">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92,32%</w:t>
            </w:r>
          </w:p>
        </w:tc>
        <w:tc>
          <w:tcPr>
            <w:tcW w:w="960" w:type="dxa"/>
            <w:tcBorders>
              <w:top w:val="nil"/>
              <w:left w:val="nil"/>
              <w:bottom w:val="single" w:sz="12" w:space="0" w:color="auto"/>
              <w:right w:val="single" w:sz="12" w:space="0" w:color="auto"/>
            </w:tcBorders>
            <w:shd w:val="clear" w:color="000000" w:fill="D0CECE"/>
            <w:noWrap/>
            <w:vAlign w:val="bottom"/>
            <w:hideMark/>
          </w:tcPr>
          <w:p w14:paraId="3099BE15" w14:textId="77777777" w:rsidR="00D004C9" w:rsidRPr="00D004C9" w:rsidRDefault="00D004C9" w:rsidP="009450E2">
            <w:pPr>
              <w:keepNext/>
              <w:spacing w:line="240" w:lineRule="auto"/>
              <w:ind w:firstLine="0"/>
              <w:jc w:val="center"/>
              <w:rPr>
                <w:rFonts w:ascii="Calibri" w:eastAsia="Times New Roman" w:hAnsi="Calibri" w:cs="Times New Roman"/>
                <w:color w:val="000000"/>
                <w:sz w:val="22"/>
              </w:rPr>
            </w:pPr>
            <w:r w:rsidRPr="00D004C9">
              <w:rPr>
                <w:rFonts w:ascii="Calibri" w:eastAsia="Times New Roman" w:hAnsi="Calibri" w:cs="Times New Roman"/>
                <w:color w:val="000000"/>
                <w:sz w:val="22"/>
              </w:rPr>
              <w:t>7,42%</w:t>
            </w:r>
          </w:p>
        </w:tc>
      </w:tr>
    </w:tbl>
    <w:p w14:paraId="3957BA33" w14:textId="1E930CAF" w:rsidR="00D004C9" w:rsidRDefault="00D004C9" w:rsidP="00D004C9">
      <w:pPr>
        <w:pStyle w:val="Titulek"/>
      </w:pPr>
      <w:r>
        <w:t xml:space="preserve">Tabulka </w:t>
      </w:r>
      <w:r w:rsidR="00E52248">
        <w:rPr>
          <w:noProof/>
        </w:rPr>
        <w:fldChar w:fldCharType="begin"/>
      </w:r>
      <w:r w:rsidR="00E52248">
        <w:rPr>
          <w:noProof/>
        </w:rPr>
        <w:instrText xml:space="preserve"> SEQ Tabulka \* ARABIC </w:instrText>
      </w:r>
      <w:r w:rsidR="00E52248">
        <w:rPr>
          <w:noProof/>
        </w:rPr>
        <w:fldChar w:fldCharType="separate"/>
      </w:r>
      <w:r w:rsidR="0061476C">
        <w:rPr>
          <w:noProof/>
        </w:rPr>
        <w:t>2</w:t>
      </w:r>
      <w:r w:rsidR="00E52248">
        <w:rPr>
          <w:noProof/>
        </w:rPr>
        <w:fldChar w:fldCharType="end"/>
      </w:r>
      <w:r>
        <w:t>: Podíly způsobů zápisu v jednotlivých subkorpusech (NINJAL 2009)</w:t>
      </w:r>
    </w:p>
    <w:tbl>
      <w:tblPr>
        <w:tblW w:w="6640" w:type="dxa"/>
        <w:tblCellMar>
          <w:left w:w="70" w:type="dxa"/>
          <w:right w:w="70" w:type="dxa"/>
        </w:tblCellMar>
        <w:tblLook w:val="04A0" w:firstRow="1" w:lastRow="0" w:firstColumn="1" w:lastColumn="0" w:noHBand="0" w:noVBand="1"/>
      </w:tblPr>
      <w:tblGrid>
        <w:gridCol w:w="2800"/>
        <w:gridCol w:w="960"/>
        <w:gridCol w:w="960"/>
        <w:gridCol w:w="960"/>
        <w:gridCol w:w="960"/>
      </w:tblGrid>
      <w:tr w:rsidR="00C74C2B" w:rsidRPr="00C74C2B" w14:paraId="77DCC0DB" w14:textId="77777777" w:rsidTr="00634113">
        <w:trPr>
          <w:cantSplit/>
          <w:trHeight w:val="375"/>
        </w:trPr>
        <w:tc>
          <w:tcPr>
            <w:tcW w:w="2800" w:type="dxa"/>
            <w:tcBorders>
              <w:top w:val="single" w:sz="12" w:space="0" w:color="auto"/>
              <w:left w:val="single" w:sz="12" w:space="0" w:color="auto"/>
              <w:bottom w:val="single" w:sz="8" w:space="0" w:color="auto"/>
              <w:right w:val="single" w:sz="4" w:space="0" w:color="auto"/>
            </w:tcBorders>
            <w:shd w:val="clear" w:color="000000" w:fill="BDD7EE"/>
            <w:noWrap/>
            <w:vAlign w:val="bottom"/>
            <w:hideMark/>
          </w:tcPr>
          <w:p w14:paraId="758F17B5" w14:textId="77777777" w:rsidR="00C74C2B" w:rsidRPr="00C74C2B" w:rsidRDefault="00C74C2B" w:rsidP="00634113">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Subkorpus</w:t>
            </w:r>
          </w:p>
        </w:tc>
        <w:tc>
          <w:tcPr>
            <w:tcW w:w="960" w:type="dxa"/>
            <w:tcBorders>
              <w:top w:val="single" w:sz="12" w:space="0" w:color="auto"/>
              <w:left w:val="nil"/>
              <w:bottom w:val="single" w:sz="8" w:space="0" w:color="auto"/>
              <w:right w:val="single" w:sz="4" w:space="0" w:color="auto"/>
            </w:tcBorders>
            <w:shd w:val="clear" w:color="000000" w:fill="BDD7EE"/>
            <w:noWrap/>
            <w:vAlign w:val="bottom"/>
            <w:hideMark/>
          </w:tcPr>
          <w:p w14:paraId="0D8D6B26" w14:textId="77777777" w:rsidR="00C74C2B" w:rsidRPr="00C74C2B" w:rsidRDefault="00C74C2B" w:rsidP="00634113">
            <w:pPr>
              <w:keepNext/>
              <w:spacing w:line="240" w:lineRule="auto"/>
              <w:ind w:firstLine="0"/>
              <w:jc w:val="center"/>
              <w:rPr>
                <w:rFonts w:ascii="Calibri" w:eastAsia="Times New Roman" w:hAnsi="Calibri" w:cs="Times New Roman"/>
                <w:b/>
                <w:bCs/>
                <w:color w:val="000000"/>
                <w:sz w:val="22"/>
              </w:rPr>
            </w:pPr>
            <w:r w:rsidRPr="00C74C2B">
              <w:rPr>
                <w:rFonts w:ascii="ＭＳ ゴシック" w:eastAsia="Times New Roman" w:hAnsi="ＭＳ ゴシック" w:cs="ＭＳ ゴシック"/>
                <w:b/>
                <w:bCs/>
                <w:color w:val="000000"/>
                <w:sz w:val="22"/>
              </w:rPr>
              <w:t>ウチ</w:t>
            </w:r>
          </w:p>
        </w:tc>
        <w:tc>
          <w:tcPr>
            <w:tcW w:w="960" w:type="dxa"/>
            <w:tcBorders>
              <w:top w:val="single" w:sz="12" w:space="0" w:color="auto"/>
              <w:left w:val="nil"/>
              <w:bottom w:val="single" w:sz="8" w:space="0" w:color="auto"/>
              <w:right w:val="single" w:sz="4" w:space="0" w:color="auto"/>
            </w:tcBorders>
            <w:shd w:val="clear" w:color="000000" w:fill="BDD7EE"/>
            <w:noWrap/>
            <w:vAlign w:val="bottom"/>
            <w:hideMark/>
          </w:tcPr>
          <w:p w14:paraId="055455F8" w14:textId="77777777" w:rsidR="00C74C2B" w:rsidRPr="00C74C2B" w:rsidRDefault="00C74C2B" w:rsidP="00634113">
            <w:pPr>
              <w:keepNext/>
              <w:spacing w:line="240" w:lineRule="auto"/>
              <w:ind w:firstLine="0"/>
              <w:jc w:val="center"/>
              <w:rPr>
                <w:rFonts w:ascii="Calibri" w:eastAsia="Times New Roman" w:hAnsi="Calibri" w:cs="Times New Roman"/>
                <w:b/>
                <w:bCs/>
                <w:color w:val="000000"/>
                <w:sz w:val="22"/>
              </w:rPr>
            </w:pPr>
            <w:r w:rsidRPr="00C74C2B">
              <w:rPr>
                <w:rFonts w:ascii="ＭＳ ゴシック" w:eastAsia="Times New Roman" w:hAnsi="ＭＳ ゴシック" w:cs="ＭＳ ゴシック"/>
                <w:b/>
                <w:bCs/>
                <w:color w:val="000000"/>
                <w:sz w:val="22"/>
              </w:rPr>
              <w:t>うち</w:t>
            </w:r>
          </w:p>
        </w:tc>
        <w:tc>
          <w:tcPr>
            <w:tcW w:w="960" w:type="dxa"/>
            <w:tcBorders>
              <w:top w:val="single" w:sz="12" w:space="0" w:color="auto"/>
              <w:left w:val="nil"/>
              <w:bottom w:val="single" w:sz="8" w:space="0" w:color="auto"/>
              <w:right w:val="single" w:sz="4" w:space="0" w:color="auto"/>
            </w:tcBorders>
            <w:shd w:val="clear" w:color="000000" w:fill="BDD7EE"/>
            <w:noWrap/>
            <w:vAlign w:val="bottom"/>
            <w:hideMark/>
          </w:tcPr>
          <w:p w14:paraId="0F72B14F" w14:textId="77777777" w:rsidR="00C74C2B" w:rsidRPr="00C74C2B" w:rsidRDefault="00C74C2B" w:rsidP="00634113">
            <w:pPr>
              <w:keepNext/>
              <w:spacing w:line="240" w:lineRule="auto"/>
              <w:ind w:firstLine="0"/>
              <w:jc w:val="center"/>
              <w:rPr>
                <w:rFonts w:ascii="Calibri" w:eastAsia="Times New Roman" w:hAnsi="Calibri" w:cs="Times New Roman"/>
                <w:b/>
                <w:bCs/>
                <w:color w:val="000000"/>
                <w:sz w:val="22"/>
              </w:rPr>
            </w:pPr>
            <w:r w:rsidRPr="00C74C2B">
              <w:rPr>
                <w:rFonts w:ascii="ＭＳ ゴシック" w:eastAsia="Times New Roman" w:hAnsi="ＭＳ ゴシック" w:cs="ＭＳ ゴシック"/>
                <w:b/>
                <w:bCs/>
                <w:color w:val="000000"/>
                <w:sz w:val="22"/>
              </w:rPr>
              <w:t>内</w:t>
            </w:r>
          </w:p>
        </w:tc>
        <w:tc>
          <w:tcPr>
            <w:tcW w:w="960" w:type="dxa"/>
            <w:tcBorders>
              <w:top w:val="single" w:sz="12" w:space="0" w:color="auto"/>
              <w:left w:val="nil"/>
              <w:bottom w:val="single" w:sz="8" w:space="0" w:color="auto"/>
              <w:right w:val="single" w:sz="12" w:space="0" w:color="auto"/>
            </w:tcBorders>
            <w:shd w:val="clear" w:color="000000" w:fill="BDD7EE"/>
            <w:noWrap/>
            <w:vAlign w:val="bottom"/>
            <w:hideMark/>
          </w:tcPr>
          <w:p w14:paraId="3E08EF9A" w14:textId="77777777" w:rsidR="00C74C2B" w:rsidRPr="00C74C2B" w:rsidRDefault="00C74C2B" w:rsidP="00634113">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Součet</w:t>
            </w:r>
          </w:p>
        </w:tc>
      </w:tr>
      <w:tr w:rsidR="00B022E7" w:rsidRPr="00C74C2B" w14:paraId="1679D358"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000000" w:fill="D0CECE"/>
            <w:noWrap/>
            <w:vAlign w:val="bottom"/>
            <w:hideMark/>
          </w:tcPr>
          <w:p w14:paraId="6ADF908F" w14:textId="1C1367D8" w:rsidR="00B022E7" w:rsidRPr="00C74C2B" w:rsidRDefault="00B022E7" w:rsidP="00B022E7">
            <w:pPr>
              <w:keepNext/>
              <w:spacing w:line="240" w:lineRule="auto"/>
              <w:ind w:firstLine="0"/>
              <w:jc w:val="left"/>
              <w:rPr>
                <w:rFonts w:ascii="Calibri" w:eastAsia="Times New Roman" w:hAnsi="Calibri" w:cs="Times New Roman"/>
                <w:b/>
                <w:bCs/>
                <w:color w:val="000000"/>
                <w:sz w:val="22"/>
              </w:rPr>
            </w:pPr>
            <w:r w:rsidRPr="00E33A61">
              <w:rPr>
                <w:rFonts w:asciiTheme="minorHAnsi" w:eastAsia="Times New Roman" w:hAnsiTheme="minorHAnsi" w:cs="ＭＳ ゴシック"/>
                <w:b/>
                <w:bCs/>
                <w:color w:val="000000"/>
                <w:sz w:val="22"/>
              </w:rPr>
              <w:t>Vydané texty</w:t>
            </w:r>
          </w:p>
        </w:tc>
        <w:tc>
          <w:tcPr>
            <w:tcW w:w="960" w:type="dxa"/>
            <w:tcBorders>
              <w:top w:val="nil"/>
              <w:left w:val="nil"/>
              <w:bottom w:val="single" w:sz="4" w:space="0" w:color="auto"/>
              <w:right w:val="single" w:sz="4" w:space="0" w:color="auto"/>
            </w:tcBorders>
            <w:shd w:val="clear" w:color="000000" w:fill="D0CECE"/>
            <w:noWrap/>
            <w:vAlign w:val="bottom"/>
            <w:hideMark/>
          </w:tcPr>
          <w:p w14:paraId="1DB9B9A9" w14:textId="77777777" w:rsidR="00B022E7" w:rsidRPr="00C74C2B" w:rsidRDefault="00B022E7" w:rsidP="00B022E7">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0,53</w:t>
            </w:r>
          </w:p>
        </w:tc>
        <w:tc>
          <w:tcPr>
            <w:tcW w:w="960" w:type="dxa"/>
            <w:tcBorders>
              <w:top w:val="nil"/>
              <w:left w:val="nil"/>
              <w:bottom w:val="single" w:sz="4" w:space="0" w:color="auto"/>
              <w:right w:val="single" w:sz="4" w:space="0" w:color="auto"/>
            </w:tcBorders>
            <w:shd w:val="clear" w:color="000000" w:fill="D0CECE"/>
            <w:noWrap/>
            <w:vAlign w:val="bottom"/>
            <w:hideMark/>
          </w:tcPr>
          <w:p w14:paraId="791437AC" w14:textId="77777777" w:rsidR="00B022E7" w:rsidRPr="00C74C2B" w:rsidRDefault="00B022E7" w:rsidP="00B022E7">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289,33</w:t>
            </w:r>
          </w:p>
        </w:tc>
        <w:tc>
          <w:tcPr>
            <w:tcW w:w="960" w:type="dxa"/>
            <w:tcBorders>
              <w:top w:val="nil"/>
              <w:left w:val="nil"/>
              <w:bottom w:val="single" w:sz="4" w:space="0" w:color="auto"/>
              <w:right w:val="single" w:sz="4" w:space="0" w:color="auto"/>
            </w:tcBorders>
            <w:shd w:val="clear" w:color="000000" w:fill="D0CECE"/>
            <w:noWrap/>
            <w:vAlign w:val="bottom"/>
            <w:hideMark/>
          </w:tcPr>
          <w:p w14:paraId="17A8B2EE" w14:textId="77777777" w:rsidR="00B022E7" w:rsidRPr="00C74C2B" w:rsidRDefault="00B022E7" w:rsidP="00B022E7">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26,11</w:t>
            </w:r>
          </w:p>
        </w:tc>
        <w:tc>
          <w:tcPr>
            <w:tcW w:w="960" w:type="dxa"/>
            <w:tcBorders>
              <w:top w:val="nil"/>
              <w:left w:val="nil"/>
              <w:bottom w:val="single" w:sz="4" w:space="0" w:color="auto"/>
              <w:right w:val="single" w:sz="12" w:space="0" w:color="auto"/>
            </w:tcBorders>
            <w:shd w:val="clear" w:color="000000" w:fill="D0CECE"/>
            <w:noWrap/>
            <w:vAlign w:val="bottom"/>
            <w:hideMark/>
          </w:tcPr>
          <w:p w14:paraId="3DE5083D" w14:textId="77777777" w:rsidR="00B022E7" w:rsidRPr="00C74C2B" w:rsidRDefault="00B022E7" w:rsidP="00B022E7">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315,96</w:t>
            </w:r>
          </w:p>
        </w:tc>
      </w:tr>
      <w:tr w:rsidR="00B022E7" w:rsidRPr="00C74C2B" w14:paraId="2F6B97C9"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5AAD9FDF" w14:textId="62AD9DF7" w:rsidR="00B022E7" w:rsidRPr="00C74C2B"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color w:val="000000"/>
                <w:sz w:val="22"/>
              </w:rPr>
              <w:t>Vydané texty</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noviny</w:t>
            </w:r>
          </w:p>
        </w:tc>
        <w:tc>
          <w:tcPr>
            <w:tcW w:w="960" w:type="dxa"/>
            <w:tcBorders>
              <w:top w:val="nil"/>
              <w:left w:val="nil"/>
              <w:bottom w:val="single" w:sz="4" w:space="0" w:color="auto"/>
              <w:right w:val="single" w:sz="4" w:space="0" w:color="auto"/>
            </w:tcBorders>
            <w:shd w:val="clear" w:color="auto" w:fill="auto"/>
            <w:noWrap/>
            <w:vAlign w:val="bottom"/>
            <w:hideMark/>
          </w:tcPr>
          <w:p w14:paraId="51DB2419"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F04B71C"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265,01</w:t>
            </w:r>
          </w:p>
        </w:tc>
        <w:tc>
          <w:tcPr>
            <w:tcW w:w="960" w:type="dxa"/>
            <w:tcBorders>
              <w:top w:val="nil"/>
              <w:left w:val="nil"/>
              <w:bottom w:val="single" w:sz="4" w:space="0" w:color="auto"/>
              <w:right w:val="single" w:sz="4" w:space="0" w:color="auto"/>
            </w:tcBorders>
            <w:shd w:val="clear" w:color="auto" w:fill="auto"/>
            <w:noWrap/>
            <w:vAlign w:val="bottom"/>
            <w:hideMark/>
          </w:tcPr>
          <w:p w14:paraId="52F199D1"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10,95</w:t>
            </w:r>
          </w:p>
        </w:tc>
        <w:tc>
          <w:tcPr>
            <w:tcW w:w="960" w:type="dxa"/>
            <w:tcBorders>
              <w:top w:val="nil"/>
              <w:left w:val="nil"/>
              <w:bottom w:val="single" w:sz="4" w:space="0" w:color="auto"/>
              <w:right w:val="single" w:sz="12" w:space="0" w:color="auto"/>
            </w:tcBorders>
            <w:shd w:val="clear" w:color="auto" w:fill="auto"/>
            <w:noWrap/>
            <w:vAlign w:val="bottom"/>
            <w:hideMark/>
          </w:tcPr>
          <w:p w14:paraId="19A6CF4E"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275,96</w:t>
            </w:r>
          </w:p>
        </w:tc>
      </w:tr>
      <w:tr w:rsidR="00B022E7" w:rsidRPr="00C74C2B" w14:paraId="11FB8492"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4DAAD98D" w14:textId="2D2A8201" w:rsidR="00B022E7" w:rsidRPr="00C74C2B"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color w:val="000000"/>
                <w:sz w:val="22"/>
              </w:rPr>
              <w:t>Vydané texty</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knihy</w:t>
            </w:r>
          </w:p>
        </w:tc>
        <w:tc>
          <w:tcPr>
            <w:tcW w:w="960" w:type="dxa"/>
            <w:tcBorders>
              <w:top w:val="nil"/>
              <w:left w:val="nil"/>
              <w:bottom w:val="single" w:sz="4" w:space="0" w:color="auto"/>
              <w:right w:val="single" w:sz="4" w:space="0" w:color="auto"/>
            </w:tcBorders>
            <w:shd w:val="clear" w:color="auto" w:fill="auto"/>
            <w:noWrap/>
            <w:vAlign w:val="bottom"/>
            <w:hideMark/>
          </w:tcPr>
          <w:p w14:paraId="2E68E6C4"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0,49</w:t>
            </w:r>
          </w:p>
        </w:tc>
        <w:tc>
          <w:tcPr>
            <w:tcW w:w="960" w:type="dxa"/>
            <w:tcBorders>
              <w:top w:val="nil"/>
              <w:left w:val="nil"/>
              <w:bottom w:val="single" w:sz="4" w:space="0" w:color="auto"/>
              <w:right w:val="single" w:sz="4" w:space="0" w:color="auto"/>
            </w:tcBorders>
            <w:shd w:val="clear" w:color="auto" w:fill="auto"/>
            <w:noWrap/>
            <w:vAlign w:val="bottom"/>
            <w:hideMark/>
          </w:tcPr>
          <w:p w14:paraId="0969C04D"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302,21</w:t>
            </w:r>
          </w:p>
        </w:tc>
        <w:tc>
          <w:tcPr>
            <w:tcW w:w="960" w:type="dxa"/>
            <w:tcBorders>
              <w:top w:val="nil"/>
              <w:left w:val="nil"/>
              <w:bottom w:val="single" w:sz="4" w:space="0" w:color="auto"/>
              <w:right w:val="single" w:sz="4" w:space="0" w:color="auto"/>
            </w:tcBorders>
            <w:shd w:val="clear" w:color="auto" w:fill="auto"/>
            <w:noWrap/>
            <w:vAlign w:val="bottom"/>
            <w:hideMark/>
          </w:tcPr>
          <w:p w14:paraId="39030E4F"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29,03</w:t>
            </w:r>
          </w:p>
        </w:tc>
        <w:tc>
          <w:tcPr>
            <w:tcW w:w="960" w:type="dxa"/>
            <w:tcBorders>
              <w:top w:val="nil"/>
              <w:left w:val="nil"/>
              <w:bottom w:val="single" w:sz="4" w:space="0" w:color="auto"/>
              <w:right w:val="single" w:sz="12" w:space="0" w:color="auto"/>
            </w:tcBorders>
            <w:shd w:val="clear" w:color="auto" w:fill="auto"/>
            <w:noWrap/>
            <w:vAlign w:val="bottom"/>
            <w:hideMark/>
          </w:tcPr>
          <w:p w14:paraId="4548B95A"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331,73</w:t>
            </w:r>
          </w:p>
        </w:tc>
      </w:tr>
      <w:tr w:rsidR="00B022E7" w:rsidRPr="00C74C2B" w14:paraId="426BEA00"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79198477" w14:textId="3383AA6D" w:rsidR="00B022E7" w:rsidRPr="00C74C2B"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color w:val="000000"/>
                <w:sz w:val="22"/>
              </w:rPr>
              <w:t>Vydané texty</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časopisy</w:t>
            </w:r>
          </w:p>
        </w:tc>
        <w:tc>
          <w:tcPr>
            <w:tcW w:w="960" w:type="dxa"/>
            <w:tcBorders>
              <w:top w:val="nil"/>
              <w:left w:val="nil"/>
              <w:bottom w:val="single" w:sz="4" w:space="0" w:color="auto"/>
              <w:right w:val="single" w:sz="4" w:space="0" w:color="auto"/>
            </w:tcBorders>
            <w:shd w:val="clear" w:color="auto" w:fill="auto"/>
            <w:noWrap/>
            <w:vAlign w:val="bottom"/>
            <w:hideMark/>
          </w:tcPr>
          <w:p w14:paraId="62FBC89B"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0,90</w:t>
            </w:r>
          </w:p>
        </w:tc>
        <w:tc>
          <w:tcPr>
            <w:tcW w:w="960" w:type="dxa"/>
            <w:tcBorders>
              <w:top w:val="nil"/>
              <w:left w:val="nil"/>
              <w:bottom w:val="single" w:sz="4" w:space="0" w:color="auto"/>
              <w:right w:val="single" w:sz="4" w:space="0" w:color="auto"/>
            </w:tcBorders>
            <w:shd w:val="clear" w:color="auto" w:fill="auto"/>
            <w:noWrap/>
            <w:vAlign w:val="bottom"/>
            <w:hideMark/>
          </w:tcPr>
          <w:p w14:paraId="704BDA6B"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214,03</w:t>
            </w:r>
          </w:p>
        </w:tc>
        <w:tc>
          <w:tcPr>
            <w:tcW w:w="960" w:type="dxa"/>
            <w:tcBorders>
              <w:top w:val="nil"/>
              <w:left w:val="nil"/>
              <w:bottom w:val="single" w:sz="4" w:space="0" w:color="auto"/>
              <w:right w:val="single" w:sz="4" w:space="0" w:color="auto"/>
            </w:tcBorders>
            <w:shd w:val="clear" w:color="auto" w:fill="auto"/>
            <w:noWrap/>
            <w:vAlign w:val="bottom"/>
            <w:hideMark/>
          </w:tcPr>
          <w:p w14:paraId="29071B3B"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11,98</w:t>
            </w:r>
          </w:p>
        </w:tc>
        <w:tc>
          <w:tcPr>
            <w:tcW w:w="960" w:type="dxa"/>
            <w:tcBorders>
              <w:top w:val="nil"/>
              <w:left w:val="nil"/>
              <w:bottom w:val="single" w:sz="4" w:space="0" w:color="auto"/>
              <w:right w:val="single" w:sz="12" w:space="0" w:color="auto"/>
            </w:tcBorders>
            <w:shd w:val="clear" w:color="auto" w:fill="auto"/>
            <w:noWrap/>
            <w:vAlign w:val="bottom"/>
            <w:hideMark/>
          </w:tcPr>
          <w:p w14:paraId="10AC70B1"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226,91</w:t>
            </w:r>
          </w:p>
        </w:tc>
      </w:tr>
      <w:tr w:rsidR="00B022E7" w:rsidRPr="00C74C2B" w14:paraId="4FF58CE2"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000000" w:fill="D0CECE"/>
            <w:noWrap/>
            <w:vAlign w:val="bottom"/>
            <w:hideMark/>
          </w:tcPr>
          <w:p w14:paraId="40FCE894" w14:textId="262B50E6" w:rsidR="00B022E7" w:rsidRPr="00C74C2B" w:rsidRDefault="00B022E7" w:rsidP="000949FC">
            <w:pPr>
              <w:keepNext/>
              <w:spacing w:line="240" w:lineRule="auto"/>
              <w:ind w:firstLine="0"/>
              <w:jc w:val="left"/>
              <w:rPr>
                <w:rFonts w:ascii="Calibri" w:eastAsia="Times New Roman" w:hAnsi="Calibri" w:cs="Times New Roman"/>
                <w:b/>
                <w:bCs/>
                <w:color w:val="000000"/>
                <w:sz w:val="22"/>
              </w:rPr>
            </w:pPr>
            <w:r w:rsidRPr="00E33A61">
              <w:rPr>
                <w:rFonts w:asciiTheme="minorHAnsi" w:eastAsia="Times New Roman" w:hAnsiTheme="minorHAnsi" w:cs="ＭＳ ゴシック"/>
                <w:b/>
                <w:bCs/>
                <w:color w:val="000000"/>
                <w:sz w:val="22"/>
              </w:rPr>
              <w:t xml:space="preserve">Knihy v </w:t>
            </w:r>
            <w:r w:rsidR="000949FC">
              <w:rPr>
                <w:rFonts w:asciiTheme="minorHAnsi" w:eastAsia="Times New Roman" w:hAnsiTheme="minorHAnsi" w:cs="ＭＳ ゴシック"/>
                <w:b/>
                <w:bCs/>
                <w:color w:val="000000"/>
                <w:sz w:val="22"/>
              </w:rPr>
              <w:t>knihovnách</w:t>
            </w:r>
          </w:p>
        </w:tc>
        <w:tc>
          <w:tcPr>
            <w:tcW w:w="960" w:type="dxa"/>
            <w:tcBorders>
              <w:top w:val="nil"/>
              <w:left w:val="nil"/>
              <w:bottom w:val="single" w:sz="4" w:space="0" w:color="auto"/>
              <w:right w:val="single" w:sz="4" w:space="0" w:color="auto"/>
            </w:tcBorders>
            <w:shd w:val="clear" w:color="000000" w:fill="D0CECE"/>
            <w:noWrap/>
            <w:vAlign w:val="bottom"/>
            <w:hideMark/>
          </w:tcPr>
          <w:p w14:paraId="417342CB" w14:textId="77777777" w:rsidR="00B022E7" w:rsidRPr="00C74C2B" w:rsidRDefault="00B022E7" w:rsidP="00B022E7">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0,13</w:t>
            </w:r>
          </w:p>
        </w:tc>
        <w:tc>
          <w:tcPr>
            <w:tcW w:w="960" w:type="dxa"/>
            <w:tcBorders>
              <w:top w:val="nil"/>
              <w:left w:val="nil"/>
              <w:bottom w:val="single" w:sz="4" w:space="0" w:color="auto"/>
              <w:right w:val="single" w:sz="4" w:space="0" w:color="auto"/>
            </w:tcBorders>
            <w:shd w:val="clear" w:color="000000" w:fill="D0CECE"/>
            <w:noWrap/>
            <w:vAlign w:val="bottom"/>
            <w:hideMark/>
          </w:tcPr>
          <w:p w14:paraId="7DD63517" w14:textId="77777777" w:rsidR="00B022E7" w:rsidRPr="00C74C2B" w:rsidRDefault="00B022E7" w:rsidP="00B022E7">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337,67</w:t>
            </w:r>
          </w:p>
        </w:tc>
        <w:tc>
          <w:tcPr>
            <w:tcW w:w="960" w:type="dxa"/>
            <w:tcBorders>
              <w:top w:val="nil"/>
              <w:left w:val="nil"/>
              <w:bottom w:val="single" w:sz="4" w:space="0" w:color="auto"/>
              <w:right w:val="single" w:sz="4" w:space="0" w:color="auto"/>
            </w:tcBorders>
            <w:shd w:val="clear" w:color="000000" w:fill="D0CECE"/>
            <w:noWrap/>
            <w:vAlign w:val="bottom"/>
            <w:hideMark/>
          </w:tcPr>
          <w:p w14:paraId="1DBFC146" w14:textId="77777777" w:rsidR="00B022E7" w:rsidRPr="00C74C2B" w:rsidRDefault="00B022E7" w:rsidP="00B022E7">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28,01</w:t>
            </w:r>
          </w:p>
        </w:tc>
        <w:tc>
          <w:tcPr>
            <w:tcW w:w="960" w:type="dxa"/>
            <w:tcBorders>
              <w:top w:val="nil"/>
              <w:left w:val="nil"/>
              <w:bottom w:val="single" w:sz="4" w:space="0" w:color="auto"/>
              <w:right w:val="single" w:sz="12" w:space="0" w:color="auto"/>
            </w:tcBorders>
            <w:shd w:val="clear" w:color="000000" w:fill="D0CECE"/>
            <w:noWrap/>
            <w:vAlign w:val="bottom"/>
            <w:hideMark/>
          </w:tcPr>
          <w:p w14:paraId="60664F1A" w14:textId="77777777" w:rsidR="00B022E7" w:rsidRPr="00C74C2B" w:rsidRDefault="00B022E7" w:rsidP="00B022E7">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365,82</w:t>
            </w:r>
          </w:p>
        </w:tc>
      </w:tr>
      <w:tr w:rsidR="00B022E7" w:rsidRPr="00C74C2B" w14:paraId="0FA0621A"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000000" w:fill="D0CECE"/>
            <w:noWrap/>
            <w:vAlign w:val="bottom"/>
            <w:hideMark/>
          </w:tcPr>
          <w:p w14:paraId="1A2A9E49" w14:textId="55726426" w:rsidR="00B022E7" w:rsidRPr="00C74C2B" w:rsidRDefault="00B022E7" w:rsidP="00B022E7">
            <w:pPr>
              <w:keepNext/>
              <w:spacing w:line="240" w:lineRule="auto"/>
              <w:ind w:firstLine="0"/>
              <w:jc w:val="left"/>
              <w:rPr>
                <w:rFonts w:ascii="Calibri" w:eastAsia="Times New Roman" w:hAnsi="Calibri" w:cs="Times New Roman"/>
                <w:b/>
                <w:bCs/>
                <w:color w:val="000000"/>
                <w:sz w:val="22"/>
              </w:rPr>
            </w:pPr>
            <w:r w:rsidRPr="00E33A61">
              <w:rPr>
                <w:rFonts w:asciiTheme="minorHAnsi" w:eastAsia="Times New Roman" w:hAnsiTheme="minorHAnsi" w:cs="ＭＳ ゴシック"/>
                <w:b/>
                <w:bCs/>
                <w:color w:val="000000"/>
                <w:sz w:val="22"/>
              </w:rPr>
              <w:t>Ostatní</w:t>
            </w:r>
          </w:p>
        </w:tc>
        <w:tc>
          <w:tcPr>
            <w:tcW w:w="960" w:type="dxa"/>
            <w:tcBorders>
              <w:top w:val="nil"/>
              <w:left w:val="nil"/>
              <w:bottom w:val="single" w:sz="4" w:space="0" w:color="auto"/>
              <w:right w:val="single" w:sz="4" w:space="0" w:color="auto"/>
            </w:tcBorders>
            <w:shd w:val="clear" w:color="000000" w:fill="D0CECE"/>
            <w:noWrap/>
            <w:vAlign w:val="bottom"/>
            <w:hideMark/>
          </w:tcPr>
          <w:p w14:paraId="7007045F" w14:textId="77777777" w:rsidR="00B022E7" w:rsidRPr="00C74C2B" w:rsidRDefault="00B022E7" w:rsidP="00B022E7">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1,62</w:t>
            </w:r>
          </w:p>
        </w:tc>
        <w:tc>
          <w:tcPr>
            <w:tcW w:w="960" w:type="dxa"/>
            <w:tcBorders>
              <w:top w:val="nil"/>
              <w:left w:val="nil"/>
              <w:bottom w:val="single" w:sz="4" w:space="0" w:color="auto"/>
              <w:right w:val="single" w:sz="4" w:space="0" w:color="auto"/>
            </w:tcBorders>
            <w:shd w:val="clear" w:color="000000" w:fill="D0CECE"/>
            <w:noWrap/>
            <w:vAlign w:val="bottom"/>
            <w:hideMark/>
          </w:tcPr>
          <w:p w14:paraId="583FB702" w14:textId="77777777" w:rsidR="00B022E7" w:rsidRPr="00C74C2B" w:rsidRDefault="00B022E7" w:rsidP="00B022E7">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262,31</w:t>
            </w:r>
          </w:p>
        </w:tc>
        <w:tc>
          <w:tcPr>
            <w:tcW w:w="960" w:type="dxa"/>
            <w:tcBorders>
              <w:top w:val="nil"/>
              <w:left w:val="nil"/>
              <w:bottom w:val="single" w:sz="4" w:space="0" w:color="auto"/>
              <w:right w:val="single" w:sz="4" w:space="0" w:color="auto"/>
            </w:tcBorders>
            <w:shd w:val="clear" w:color="000000" w:fill="D0CECE"/>
            <w:noWrap/>
            <w:vAlign w:val="bottom"/>
            <w:hideMark/>
          </w:tcPr>
          <w:p w14:paraId="1F5CA35E" w14:textId="77777777" w:rsidR="00B022E7" w:rsidRPr="00C74C2B" w:rsidRDefault="00B022E7" w:rsidP="00B022E7">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17,95</w:t>
            </w:r>
          </w:p>
        </w:tc>
        <w:tc>
          <w:tcPr>
            <w:tcW w:w="960" w:type="dxa"/>
            <w:tcBorders>
              <w:top w:val="nil"/>
              <w:left w:val="nil"/>
              <w:bottom w:val="single" w:sz="4" w:space="0" w:color="auto"/>
              <w:right w:val="single" w:sz="12" w:space="0" w:color="auto"/>
            </w:tcBorders>
            <w:shd w:val="clear" w:color="000000" w:fill="D0CECE"/>
            <w:noWrap/>
            <w:vAlign w:val="bottom"/>
            <w:hideMark/>
          </w:tcPr>
          <w:p w14:paraId="3FF4063E" w14:textId="77777777" w:rsidR="00B022E7" w:rsidRPr="00C74C2B" w:rsidRDefault="00B022E7" w:rsidP="00B022E7">
            <w:pPr>
              <w:keepNext/>
              <w:spacing w:line="240" w:lineRule="auto"/>
              <w:ind w:firstLine="0"/>
              <w:jc w:val="center"/>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281,88</w:t>
            </w:r>
          </w:p>
        </w:tc>
      </w:tr>
      <w:tr w:rsidR="00B022E7" w:rsidRPr="00C74C2B" w14:paraId="52BD43C3"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16E0304D" w14:textId="5C729D36" w:rsidR="00B022E7" w:rsidRPr="00C74C2B"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blogy</w:t>
            </w:r>
          </w:p>
        </w:tc>
        <w:tc>
          <w:tcPr>
            <w:tcW w:w="960" w:type="dxa"/>
            <w:tcBorders>
              <w:top w:val="nil"/>
              <w:left w:val="nil"/>
              <w:bottom w:val="single" w:sz="4" w:space="0" w:color="auto"/>
              <w:right w:val="single" w:sz="4" w:space="0" w:color="auto"/>
            </w:tcBorders>
            <w:shd w:val="clear" w:color="auto" w:fill="auto"/>
            <w:noWrap/>
            <w:vAlign w:val="bottom"/>
            <w:hideMark/>
          </w:tcPr>
          <w:p w14:paraId="31A9BDEF"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4,94</w:t>
            </w:r>
          </w:p>
        </w:tc>
        <w:tc>
          <w:tcPr>
            <w:tcW w:w="960" w:type="dxa"/>
            <w:tcBorders>
              <w:top w:val="nil"/>
              <w:left w:val="nil"/>
              <w:bottom w:val="single" w:sz="4" w:space="0" w:color="auto"/>
              <w:right w:val="single" w:sz="4" w:space="0" w:color="auto"/>
            </w:tcBorders>
            <w:shd w:val="clear" w:color="auto" w:fill="auto"/>
            <w:noWrap/>
            <w:vAlign w:val="bottom"/>
            <w:hideMark/>
          </w:tcPr>
          <w:p w14:paraId="57E849FF"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181,42</w:t>
            </w:r>
          </w:p>
        </w:tc>
        <w:tc>
          <w:tcPr>
            <w:tcW w:w="960" w:type="dxa"/>
            <w:tcBorders>
              <w:top w:val="nil"/>
              <w:left w:val="nil"/>
              <w:bottom w:val="single" w:sz="4" w:space="0" w:color="auto"/>
              <w:right w:val="single" w:sz="4" w:space="0" w:color="auto"/>
            </w:tcBorders>
            <w:shd w:val="clear" w:color="auto" w:fill="auto"/>
            <w:noWrap/>
            <w:vAlign w:val="bottom"/>
            <w:hideMark/>
          </w:tcPr>
          <w:p w14:paraId="056BA31E"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25,08</w:t>
            </w:r>
          </w:p>
        </w:tc>
        <w:tc>
          <w:tcPr>
            <w:tcW w:w="960" w:type="dxa"/>
            <w:tcBorders>
              <w:top w:val="nil"/>
              <w:left w:val="nil"/>
              <w:bottom w:val="single" w:sz="4" w:space="0" w:color="auto"/>
              <w:right w:val="single" w:sz="12" w:space="0" w:color="auto"/>
            </w:tcBorders>
            <w:shd w:val="clear" w:color="auto" w:fill="auto"/>
            <w:noWrap/>
            <w:vAlign w:val="bottom"/>
            <w:hideMark/>
          </w:tcPr>
          <w:p w14:paraId="0D5D6375"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211,44</w:t>
            </w:r>
          </w:p>
        </w:tc>
      </w:tr>
      <w:tr w:rsidR="00B022E7" w:rsidRPr="00C74C2B" w14:paraId="2C4AF54E"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41DD7BE3" w14:textId="64212F47" w:rsidR="00B022E7" w:rsidRPr="00C74C2B"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bestselery</w:t>
            </w:r>
          </w:p>
        </w:tc>
        <w:tc>
          <w:tcPr>
            <w:tcW w:w="960" w:type="dxa"/>
            <w:tcBorders>
              <w:top w:val="nil"/>
              <w:left w:val="nil"/>
              <w:bottom w:val="single" w:sz="4" w:space="0" w:color="auto"/>
              <w:right w:val="single" w:sz="4" w:space="0" w:color="auto"/>
            </w:tcBorders>
            <w:shd w:val="clear" w:color="auto" w:fill="auto"/>
            <w:noWrap/>
            <w:vAlign w:val="bottom"/>
            <w:hideMark/>
          </w:tcPr>
          <w:p w14:paraId="68E68A74"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0,54</w:t>
            </w:r>
          </w:p>
        </w:tc>
        <w:tc>
          <w:tcPr>
            <w:tcW w:w="960" w:type="dxa"/>
            <w:tcBorders>
              <w:top w:val="nil"/>
              <w:left w:val="nil"/>
              <w:bottom w:val="single" w:sz="4" w:space="0" w:color="auto"/>
              <w:right w:val="single" w:sz="4" w:space="0" w:color="auto"/>
            </w:tcBorders>
            <w:shd w:val="clear" w:color="auto" w:fill="auto"/>
            <w:noWrap/>
            <w:vAlign w:val="bottom"/>
            <w:hideMark/>
          </w:tcPr>
          <w:p w14:paraId="6F5A7FEB"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360,92</w:t>
            </w:r>
          </w:p>
        </w:tc>
        <w:tc>
          <w:tcPr>
            <w:tcW w:w="960" w:type="dxa"/>
            <w:tcBorders>
              <w:top w:val="nil"/>
              <w:left w:val="nil"/>
              <w:bottom w:val="single" w:sz="4" w:space="0" w:color="auto"/>
              <w:right w:val="single" w:sz="4" w:space="0" w:color="auto"/>
            </w:tcBorders>
            <w:shd w:val="clear" w:color="auto" w:fill="auto"/>
            <w:noWrap/>
            <w:vAlign w:val="bottom"/>
            <w:hideMark/>
          </w:tcPr>
          <w:p w14:paraId="7DEA5D44"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35,05</w:t>
            </w:r>
          </w:p>
        </w:tc>
        <w:tc>
          <w:tcPr>
            <w:tcW w:w="960" w:type="dxa"/>
            <w:tcBorders>
              <w:top w:val="nil"/>
              <w:left w:val="nil"/>
              <w:bottom w:val="single" w:sz="4" w:space="0" w:color="auto"/>
              <w:right w:val="single" w:sz="12" w:space="0" w:color="auto"/>
            </w:tcBorders>
            <w:shd w:val="clear" w:color="auto" w:fill="auto"/>
            <w:noWrap/>
            <w:vAlign w:val="bottom"/>
            <w:hideMark/>
          </w:tcPr>
          <w:p w14:paraId="2309067F"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396,50</w:t>
            </w:r>
          </w:p>
        </w:tc>
      </w:tr>
      <w:tr w:rsidR="00B022E7" w:rsidRPr="00C74C2B" w14:paraId="582980AC"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52B16988" w14:textId="213E0305" w:rsidR="00B022E7" w:rsidRPr="00C74C2B"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vládní jednání</w:t>
            </w:r>
          </w:p>
        </w:tc>
        <w:tc>
          <w:tcPr>
            <w:tcW w:w="960" w:type="dxa"/>
            <w:tcBorders>
              <w:top w:val="nil"/>
              <w:left w:val="nil"/>
              <w:bottom w:val="single" w:sz="4" w:space="0" w:color="auto"/>
              <w:right w:val="single" w:sz="4" w:space="0" w:color="auto"/>
            </w:tcBorders>
            <w:shd w:val="clear" w:color="auto" w:fill="auto"/>
            <w:noWrap/>
            <w:vAlign w:val="bottom"/>
            <w:hideMark/>
          </w:tcPr>
          <w:p w14:paraId="7B2A6915"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50E534D"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189,91</w:t>
            </w:r>
          </w:p>
        </w:tc>
        <w:tc>
          <w:tcPr>
            <w:tcW w:w="960" w:type="dxa"/>
            <w:tcBorders>
              <w:top w:val="nil"/>
              <w:left w:val="nil"/>
              <w:bottom w:val="single" w:sz="4" w:space="0" w:color="auto"/>
              <w:right w:val="single" w:sz="4" w:space="0" w:color="auto"/>
            </w:tcBorders>
            <w:shd w:val="clear" w:color="auto" w:fill="auto"/>
            <w:noWrap/>
            <w:vAlign w:val="bottom"/>
            <w:hideMark/>
          </w:tcPr>
          <w:p w14:paraId="319E7070"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1,57</w:t>
            </w:r>
          </w:p>
        </w:tc>
        <w:tc>
          <w:tcPr>
            <w:tcW w:w="960" w:type="dxa"/>
            <w:tcBorders>
              <w:top w:val="nil"/>
              <w:left w:val="nil"/>
              <w:bottom w:val="single" w:sz="4" w:space="0" w:color="auto"/>
              <w:right w:val="single" w:sz="12" w:space="0" w:color="auto"/>
            </w:tcBorders>
            <w:shd w:val="clear" w:color="auto" w:fill="auto"/>
            <w:noWrap/>
            <w:vAlign w:val="bottom"/>
            <w:hideMark/>
          </w:tcPr>
          <w:p w14:paraId="264C4CC2"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191,48</w:t>
            </w:r>
          </w:p>
        </w:tc>
      </w:tr>
      <w:tr w:rsidR="00B022E7" w:rsidRPr="00C74C2B" w14:paraId="5A739866"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4B3A2A4A" w14:textId="11C27992" w:rsidR="00B022E7" w:rsidRPr="00C74C2B"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1"/>
                <w:szCs w:val="21"/>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1"/>
                <w:szCs w:val="21"/>
              </w:rPr>
              <w:t>informační bulletiny</w:t>
            </w:r>
          </w:p>
        </w:tc>
        <w:tc>
          <w:tcPr>
            <w:tcW w:w="960" w:type="dxa"/>
            <w:tcBorders>
              <w:top w:val="nil"/>
              <w:left w:val="nil"/>
              <w:bottom w:val="single" w:sz="4" w:space="0" w:color="auto"/>
              <w:right w:val="single" w:sz="4" w:space="0" w:color="auto"/>
            </w:tcBorders>
            <w:shd w:val="clear" w:color="auto" w:fill="auto"/>
            <w:noWrap/>
            <w:vAlign w:val="bottom"/>
            <w:hideMark/>
          </w:tcPr>
          <w:p w14:paraId="117530A1"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0,27</w:t>
            </w:r>
          </w:p>
        </w:tc>
        <w:tc>
          <w:tcPr>
            <w:tcW w:w="960" w:type="dxa"/>
            <w:tcBorders>
              <w:top w:val="nil"/>
              <w:left w:val="nil"/>
              <w:bottom w:val="single" w:sz="4" w:space="0" w:color="auto"/>
              <w:right w:val="single" w:sz="4" w:space="0" w:color="auto"/>
            </w:tcBorders>
            <w:shd w:val="clear" w:color="auto" w:fill="auto"/>
            <w:noWrap/>
            <w:vAlign w:val="bottom"/>
            <w:hideMark/>
          </w:tcPr>
          <w:p w14:paraId="57D73880"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151,45</w:t>
            </w:r>
          </w:p>
        </w:tc>
        <w:tc>
          <w:tcPr>
            <w:tcW w:w="960" w:type="dxa"/>
            <w:tcBorders>
              <w:top w:val="nil"/>
              <w:left w:val="nil"/>
              <w:bottom w:val="single" w:sz="4" w:space="0" w:color="auto"/>
              <w:right w:val="single" w:sz="4" w:space="0" w:color="auto"/>
            </w:tcBorders>
            <w:shd w:val="clear" w:color="auto" w:fill="auto"/>
            <w:noWrap/>
            <w:vAlign w:val="bottom"/>
            <w:hideMark/>
          </w:tcPr>
          <w:p w14:paraId="769F6030"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6,40</w:t>
            </w:r>
          </w:p>
        </w:tc>
        <w:tc>
          <w:tcPr>
            <w:tcW w:w="960" w:type="dxa"/>
            <w:tcBorders>
              <w:top w:val="nil"/>
              <w:left w:val="nil"/>
              <w:bottom w:val="single" w:sz="4" w:space="0" w:color="auto"/>
              <w:right w:val="single" w:sz="12" w:space="0" w:color="auto"/>
            </w:tcBorders>
            <w:shd w:val="clear" w:color="auto" w:fill="auto"/>
            <w:noWrap/>
            <w:vAlign w:val="bottom"/>
            <w:hideMark/>
          </w:tcPr>
          <w:p w14:paraId="5B39FB89"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158,11</w:t>
            </w:r>
          </w:p>
        </w:tc>
      </w:tr>
      <w:tr w:rsidR="00B022E7" w:rsidRPr="00C74C2B" w14:paraId="5814F78B"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1FAA74E5" w14:textId="64BF9DD9" w:rsidR="00B022E7" w:rsidRPr="00C74C2B"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učebnice</w:t>
            </w:r>
          </w:p>
        </w:tc>
        <w:tc>
          <w:tcPr>
            <w:tcW w:w="960" w:type="dxa"/>
            <w:tcBorders>
              <w:top w:val="nil"/>
              <w:left w:val="nil"/>
              <w:bottom w:val="single" w:sz="4" w:space="0" w:color="auto"/>
              <w:right w:val="single" w:sz="4" w:space="0" w:color="auto"/>
            </w:tcBorders>
            <w:shd w:val="clear" w:color="auto" w:fill="auto"/>
            <w:noWrap/>
            <w:vAlign w:val="bottom"/>
            <w:hideMark/>
          </w:tcPr>
          <w:p w14:paraId="695347FC"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AFD83BC"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251,91</w:t>
            </w:r>
          </w:p>
        </w:tc>
        <w:tc>
          <w:tcPr>
            <w:tcW w:w="960" w:type="dxa"/>
            <w:tcBorders>
              <w:top w:val="nil"/>
              <w:left w:val="nil"/>
              <w:bottom w:val="single" w:sz="4" w:space="0" w:color="auto"/>
              <w:right w:val="single" w:sz="4" w:space="0" w:color="auto"/>
            </w:tcBorders>
            <w:shd w:val="clear" w:color="auto" w:fill="auto"/>
            <w:noWrap/>
            <w:vAlign w:val="bottom"/>
            <w:hideMark/>
          </w:tcPr>
          <w:p w14:paraId="2AB3A06F"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10,81</w:t>
            </w:r>
          </w:p>
        </w:tc>
        <w:tc>
          <w:tcPr>
            <w:tcW w:w="960" w:type="dxa"/>
            <w:tcBorders>
              <w:top w:val="nil"/>
              <w:left w:val="nil"/>
              <w:bottom w:val="single" w:sz="4" w:space="0" w:color="auto"/>
              <w:right w:val="single" w:sz="12" w:space="0" w:color="auto"/>
            </w:tcBorders>
            <w:shd w:val="clear" w:color="auto" w:fill="auto"/>
            <w:noWrap/>
            <w:vAlign w:val="bottom"/>
            <w:hideMark/>
          </w:tcPr>
          <w:p w14:paraId="481E93B2"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262,72</w:t>
            </w:r>
          </w:p>
        </w:tc>
      </w:tr>
      <w:tr w:rsidR="00B022E7" w:rsidRPr="00C74C2B" w14:paraId="63BB7E7C"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37696E35" w14:textId="48F6C947" w:rsidR="00B022E7" w:rsidRPr="00C74C2B"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00804DA0">
              <w:rPr>
                <w:rFonts w:asciiTheme="minorHAnsi" w:eastAsia="Times New Roman" w:hAnsiTheme="minorHAnsi" w:cs="ＭＳ ゴシック"/>
                <w:color w:val="000000"/>
                <w:sz w:val="22"/>
              </w:rPr>
              <w:t>zákoníky</w:t>
            </w:r>
          </w:p>
        </w:tc>
        <w:tc>
          <w:tcPr>
            <w:tcW w:w="960" w:type="dxa"/>
            <w:tcBorders>
              <w:top w:val="nil"/>
              <w:left w:val="nil"/>
              <w:bottom w:val="single" w:sz="4" w:space="0" w:color="auto"/>
              <w:right w:val="single" w:sz="4" w:space="0" w:color="auto"/>
            </w:tcBorders>
            <w:shd w:val="clear" w:color="auto" w:fill="auto"/>
            <w:noWrap/>
            <w:vAlign w:val="bottom"/>
            <w:hideMark/>
          </w:tcPr>
          <w:p w14:paraId="62B5B182"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F67A24A"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620,90</w:t>
            </w:r>
          </w:p>
        </w:tc>
        <w:tc>
          <w:tcPr>
            <w:tcW w:w="960" w:type="dxa"/>
            <w:tcBorders>
              <w:top w:val="nil"/>
              <w:left w:val="nil"/>
              <w:bottom w:val="single" w:sz="4" w:space="0" w:color="auto"/>
              <w:right w:val="single" w:sz="4" w:space="0" w:color="auto"/>
            </w:tcBorders>
            <w:shd w:val="clear" w:color="auto" w:fill="auto"/>
            <w:noWrap/>
            <w:vAlign w:val="bottom"/>
            <w:hideMark/>
          </w:tcPr>
          <w:p w14:paraId="75C9D775"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4,63</w:t>
            </w:r>
          </w:p>
        </w:tc>
        <w:tc>
          <w:tcPr>
            <w:tcW w:w="960" w:type="dxa"/>
            <w:tcBorders>
              <w:top w:val="nil"/>
              <w:left w:val="nil"/>
              <w:bottom w:val="single" w:sz="4" w:space="0" w:color="auto"/>
              <w:right w:val="single" w:sz="12" w:space="0" w:color="auto"/>
            </w:tcBorders>
            <w:shd w:val="clear" w:color="auto" w:fill="auto"/>
            <w:noWrap/>
            <w:vAlign w:val="bottom"/>
            <w:hideMark/>
          </w:tcPr>
          <w:p w14:paraId="5B5B96F8"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625,53</w:t>
            </w:r>
          </w:p>
        </w:tc>
      </w:tr>
      <w:tr w:rsidR="00B022E7" w:rsidRPr="00C74C2B" w14:paraId="1A28415B"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2AF04572" w14:textId="24DBC5B9" w:rsidR="00B022E7" w:rsidRPr="00C74C2B"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vládní zprávy</w:t>
            </w:r>
          </w:p>
        </w:tc>
        <w:tc>
          <w:tcPr>
            <w:tcW w:w="960" w:type="dxa"/>
            <w:tcBorders>
              <w:top w:val="nil"/>
              <w:left w:val="nil"/>
              <w:bottom w:val="single" w:sz="4" w:space="0" w:color="auto"/>
              <w:right w:val="single" w:sz="4" w:space="0" w:color="auto"/>
            </w:tcBorders>
            <w:shd w:val="clear" w:color="auto" w:fill="auto"/>
            <w:noWrap/>
            <w:vAlign w:val="bottom"/>
            <w:hideMark/>
          </w:tcPr>
          <w:p w14:paraId="5EA4FD8E"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AA013F0"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600,50</w:t>
            </w:r>
          </w:p>
        </w:tc>
        <w:tc>
          <w:tcPr>
            <w:tcW w:w="960" w:type="dxa"/>
            <w:tcBorders>
              <w:top w:val="nil"/>
              <w:left w:val="nil"/>
              <w:bottom w:val="single" w:sz="4" w:space="0" w:color="auto"/>
              <w:right w:val="single" w:sz="4" w:space="0" w:color="auto"/>
            </w:tcBorders>
            <w:shd w:val="clear" w:color="auto" w:fill="auto"/>
            <w:noWrap/>
            <w:vAlign w:val="bottom"/>
            <w:hideMark/>
          </w:tcPr>
          <w:p w14:paraId="6A29D8D8"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5,74</w:t>
            </w:r>
          </w:p>
        </w:tc>
        <w:tc>
          <w:tcPr>
            <w:tcW w:w="960" w:type="dxa"/>
            <w:tcBorders>
              <w:top w:val="nil"/>
              <w:left w:val="nil"/>
              <w:bottom w:val="single" w:sz="4" w:space="0" w:color="auto"/>
              <w:right w:val="single" w:sz="12" w:space="0" w:color="auto"/>
            </w:tcBorders>
            <w:shd w:val="clear" w:color="auto" w:fill="auto"/>
            <w:noWrap/>
            <w:vAlign w:val="bottom"/>
            <w:hideMark/>
          </w:tcPr>
          <w:p w14:paraId="6270BDA5"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606,24</w:t>
            </w:r>
          </w:p>
        </w:tc>
      </w:tr>
      <w:tr w:rsidR="00B022E7" w:rsidRPr="00C74C2B" w14:paraId="32FD4146"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155FEE71" w14:textId="28A5A8AA" w:rsidR="00B022E7" w:rsidRPr="00C74C2B"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Čiebukuro</w:t>
            </w:r>
          </w:p>
        </w:tc>
        <w:tc>
          <w:tcPr>
            <w:tcW w:w="960" w:type="dxa"/>
            <w:tcBorders>
              <w:top w:val="nil"/>
              <w:left w:val="nil"/>
              <w:bottom w:val="single" w:sz="4" w:space="0" w:color="auto"/>
              <w:right w:val="single" w:sz="4" w:space="0" w:color="auto"/>
            </w:tcBorders>
            <w:shd w:val="clear" w:color="auto" w:fill="auto"/>
            <w:noWrap/>
            <w:vAlign w:val="bottom"/>
            <w:hideMark/>
          </w:tcPr>
          <w:p w14:paraId="1C4B293D"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1,17</w:t>
            </w:r>
          </w:p>
        </w:tc>
        <w:tc>
          <w:tcPr>
            <w:tcW w:w="960" w:type="dxa"/>
            <w:tcBorders>
              <w:top w:val="nil"/>
              <w:left w:val="nil"/>
              <w:bottom w:val="single" w:sz="4" w:space="0" w:color="auto"/>
              <w:right w:val="single" w:sz="4" w:space="0" w:color="auto"/>
            </w:tcBorders>
            <w:shd w:val="clear" w:color="auto" w:fill="auto"/>
            <w:noWrap/>
            <w:vAlign w:val="bottom"/>
            <w:hideMark/>
          </w:tcPr>
          <w:p w14:paraId="0A79C7E1"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184,85</w:t>
            </w:r>
          </w:p>
        </w:tc>
        <w:tc>
          <w:tcPr>
            <w:tcW w:w="960" w:type="dxa"/>
            <w:tcBorders>
              <w:top w:val="nil"/>
              <w:left w:val="nil"/>
              <w:bottom w:val="single" w:sz="4" w:space="0" w:color="auto"/>
              <w:right w:val="single" w:sz="4" w:space="0" w:color="auto"/>
            </w:tcBorders>
            <w:shd w:val="clear" w:color="auto" w:fill="auto"/>
            <w:noWrap/>
            <w:vAlign w:val="bottom"/>
            <w:hideMark/>
          </w:tcPr>
          <w:p w14:paraId="7CF5B77C"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24,82</w:t>
            </w:r>
          </w:p>
        </w:tc>
        <w:tc>
          <w:tcPr>
            <w:tcW w:w="960" w:type="dxa"/>
            <w:tcBorders>
              <w:top w:val="nil"/>
              <w:left w:val="nil"/>
              <w:bottom w:val="single" w:sz="4" w:space="0" w:color="auto"/>
              <w:right w:val="single" w:sz="12" w:space="0" w:color="auto"/>
            </w:tcBorders>
            <w:shd w:val="clear" w:color="auto" w:fill="auto"/>
            <w:noWrap/>
            <w:vAlign w:val="bottom"/>
            <w:hideMark/>
          </w:tcPr>
          <w:p w14:paraId="798D0B73"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210,84</w:t>
            </w:r>
          </w:p>
        </w:tc>
      </w:tr>
      <w:tr w:rsidR="00B022E7" w:rsidRPr="00C74C2B" w14:paraId="3A160AA4" w14:textId="77777777" w:rsidTr="00634113">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38BDF611" w14:textId="36417C5A" w:rsidR="00B022E7" w:rsidRPr="00C74C2B" w:rsidRDefault="00B022E7" w:rsidP="00B022E7">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verše</w:t>
            </w:r>
          </w:p>
        </w:tc>
        <w:tc>
          <w:tcPr>
            <w:tcW w:w="960" w:type="dxa"/>
            <w:tcBorders>
              <w:top w:val="nil"/>
              <w:left w:val="nil"/>
              <w:bottom w:val="single" w:sz="4" w:space="0" w:color="auto"/>
              <w:right w:val="single" w:sz="4" w:space="0" w:color="auto"/>
            </w:tcBorders>
            <w:shd w:val="clear" w:color="auto" w:fill="auto"/>
            <w:noWrap/>
            <w:vAlign w:val="bottom"/>
            <w:hideMark/>
          </w:tcPr>
          <w:p w14:paraId="6A95C9A2"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F65356E"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264,36</w:t>
            </w:r>
          </w:p>
        </w:tc>
        <w:tc>
          <w:tcPr>
            <w:tcW w:w="960" w:type="dxa"/>
            <w:tcBorders>
              <w:top w:val="nil"/>
              <w:left w:val="nil"/>
              <w:bottom w:val="single" w:sz="4" w:space="0" w:color="auto"/>
              <w:right w:val="single" w:sz="4" w:space="0" w:color="auto"/>
            </w:tcBorders>
            <w:shd w:val="clear" w:color="auto" w:fill="auto"/>
            <w:noWrap/>
            <w:vAlign w:val="bottom"/>
            <w:hideMark/>
          </w:tcPr>
          <w:p w14:paraId="38BF6DD1"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22,40</w:t>
            </w:r>
          </w:p>
        </w:tc>
        <w:tc>
          <w:tcPr>
            <w:tcW w:w="960" w:type="dxa"/>
            <w:tcBorders>
              <w:top w:val="nil"/>
              <w:left w:val="nil"/>
              <w:bottom w:val="single" w:sz="4" w:space="0" w:color="auto"/>
              <w:right w:val="single" w:sz="12" w:space="0" w:color="auto"/>
            </w:tcBorders>
            <w:shd w:val="clear" w:color="auto" w:fill="auto"/>
            <w:noWrap/>
            <w:vAlign w:val="bottom"/>
            <w:hideMark/>
          </w:tcPr>
          <w:p w14:paraId="22E4AEE3" w14:textId="77777777" w:rsidR="00B022E7" w:rsidRPr="00C74C2B" w:rsidRDefault="00B022E7" w:rsidP="00B022E7">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286,76</w:t>
            </w:r>
          </w:p>
        </w:tc>
      </w:tr>
      <w:tr w:rsidR="00C74C2B" w:rsidRPr="00C74C2B" w14:paraId="77914FAD" w14:textId="77777777" w:rsidTr="00634113">
        <w:trPr>
          <w:cantSplit/>
          <w:trHeight w:val="315"/>
        </w:trPr>
        <w:tc>
          <w:tcPr>
            <w:tcW w:w="2800" w:type="dxa"/>
            <w:tcBorders>
              <w:top w:val="nil"/>
              <w:left w:val="single" w:sz="12" w:space="0" w:color="auto"/>
              <w:bottom w:val="single" w:sz="12" w:space="0" w:color="auto"/>
              <w:right w:val="single" w:sz="4" w:space="0" w:color="auto"/>
            </w:tcBorders>
            <w:shd w:val="clear" w:color="000000" w:fill="BDD7EE"/>
            <w:noWrap/>
            <w:vAlign w:val="bottom"/>
            <w:hideMark/>
          </w:tcPr>
          <w:p w14:paraId="7AA2F6B0" w14:textId="77777777" w:rsidR="00C74C2B" w:rsidRPr="00C74C2B" w:rsidRDefault="00C74C2B" w:rsidP="00634113">
            <w:pPr>
              <w:keepNext/>
              <w:spacing w:line="240" w:lineRule="auto"/>
              <w:ind w:firstLine="0"/>
              <w:jc w:val="left"/>
              <w:rPr>
                <w:rFonts w:ascii="Calibri" w:eastAsia="Times New Roman" w:hAnsi="Calibri" w:cs="Times New Roman"/>
                <w:b/>
                <w:bCs/>
                <w:color w:val="000000"/>
                <w:sz w:val="22"/>
              </w:rPr>
            </w:pPr>
            <w:r w:rsidRPr="00C74C2B">
              <w:rPr>
                <w:rFonts w:ascii="Calibri" w:eastAsia="Times New Roman" w:hAnsi="Calibri" w:cs="Times New Roman"/>
                <w:b/>
                <w:bCs/>
                <w:color w:val="000000"/>
                <w:sz w:val="22"/>
              </w:rPr>
              <w:t>Celý korpus</w:t>
            </w:r>
          </w:p>
        </w:tc>
        <w:tc>
          <w:tcPr>
            <w:tcW w:w="960" w:type="dxa"/>
            <w:tcBorders>
              <w:top w:val="nil"/>
              <w:left w:val="nil"/>
              <w:bottom w:val="single" w:sz="12" w:space="0" w:color="auto"/>
              <w:right w:val="single" w:sz="4" w:space="0" w:color="auto"/>
            </w:tcBorders>
            <w:shd w:val="clear" w:color="000000" w:fill="D0CECE"/>
            <w:noWrap/>
            <w:vAlign w:val="bottom"/>
            <w:hideMark/>
          </w:tcPr>
          <w:p w14:paraId="58DEB838" w14:textId="77777777" w:rsidR="00C74C2B" w:rsidRPr="00C74C2B" w:rsidRDefault="00C74C2B" w:rsidP="00634113">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0,83</w:t>
            </w:r>
          </w:p>
        </w:tc>
        <w:tc>
          <w:tcPr>
            <w:tcW w:w="960" w:type="dxa"/>
            <w:tcBorders>
              <w:top w:val="nil"/>
              <w:left w:val="nil"/>
              <w:bottom w:val="single" w:sz="12" w:space="0" w:color="auto"/>
              <w:right w:val="single" w:sz="4" w:space="0" w:color="auto"/>
            </w:tcBorders>
            <w:shd w:val="clear" w:color="000000" w:fill="D0CECE"/>
            <w:noWrap/>
            <w:vAlign w:val="bottom"/>
            <w:hideMark/>
          </w:tcPr>
          <w:p w14:paraId="734E26F7" w14:textId="77777777" w:rsidR="00C74C2B" w:rsidRPr="00C74C2B" w:rsidRDefault="00C74C2B" w:rsidP="00634113">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292,99</w:t>
            </w:r>
          </w:p>
        </w:tc>
        <w:tc>
          <w:tcPr>
            <w:tcW w:w="960" w:type="dxa"/>
            <w:tcBorders>
              <w:top w:val="nil"/>
              <w:left w:val="nil"/>
              <w:bottom w:val="single" w:sz="12" w:space="0" w:color="auto"/>
              <w:right w:val="single" w:sz="4" w:space="0" w:color="auto"/>
            </w:tcBorders>
            <w:shd w:val="clear" w:color="000000" w:fill="D0CECE"/>
            <w:noWrap/>
            <w:vAlign w:val="bottom"/>
            <w:hideMark/>
          </w:tcPr>
          <w:p w14:paraId="1839BDC8" w14:textId="77777777" w:rsidR="00C74C2B" w:rsidRPr="00C74C2B" w:rsidRDefault="00C74C2B" w:rsidP="00634113">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23,53</w:t>
            </w:r>
          </w:p>
        </w:tc>
        <w:tc>
          <w:tcPr>
            <w:tcW w:w="960" w:type="dxa"/>
            <w:tcBorders>
              <w:top w:val="nil"/>
              <w:left w:val="nil"/>
              <w:bottom w:val="single" w:sz="12" w:space="0" w:color="auto"/>
              <w:right w:val="single" w:sz="12" w:space="0" w:color="auto"/>
            </w:tcBorders>
            <w:shd w:val="clear" w:color="000000" w:fill="D0CECE"/>
            <w:noWrap/>
            <w:vAlign w:val="bottom"/>
            <w:hideMark/>
          </w:tcPr>
          <w:p w14:paraId="7A32526E" w14:textId="77777777" w:rsidR="00C74C2B" w:rsidRPr="00C74C2B" w:rsidRDefault="00C74C2B" w:rsidP="00634113">
            <w:pPr>
              <w:keepNext/>
              <w:spacing w:line="240" w:lineRule="auto"/>
              <w:ind w:firstLine="0"/>
              <w:jc w:val="center"/>
              <w:rPr>
                <w:rFonts w:ascii="Calibri" w:eastAsia="Times New Roman" w:hAnsi="Calibri" w:cs="Times New Roman"/>
                <w:color w:val="000000"/>
                <w:sz w:val="22"/>
              </w:rPr>
            </w:pPr>
            <w:r w:rsidRPr="00C74C2B">
              <w:rPr>
                <w:rFonts w:ascii="Calibri" w:eastAsia="Times New Roman" w:hAnsi="Calibri" w:cs="Times New Roman"/>
                <w:color w:val="000000"/>
                <w:sz w:val="22"/>
              </w:rPr>
              <w:t>317,35</w:t>
            </w:r>
          </w:p>
        </w:tc>
      </w:tr>
    </w:tbl>
    <w:p w14:paraId="1CAA9AA8" w14:textId="1AB00A17" w:rsidR="00C74C2B" w:rsidRDefault="00C74C2B" w:rsidP="00C74C2B">
      <w:pPr>
        <w:pStyle w:val="Titulek"/>
      </w:pPr>
      <w:r>
        <w:t xml:space="preserve">Tabulka </w:t>
      </w:r>
      <w:r w:rsidR="00E52248">
        <w:rPr>
          <w:noProof/>
        </w:rPr>
        <w:fldChar w:fldCharType="begin"/>
      </w:r>
      <w:r w:rsidR="00E52248">
        <w:rPr>
          <w:noProof/>
        </w:rPr>
        <w:instrText xml:space="preserve"> SEQ Tabulka \* ARABIC </w:instrText>
      </w:r>
      <w:r w:rsidR="00E52248">
        <w:rPr>
          <w:noProof/>
        </w:rPr>
        <w:fldChar w:fldCharType="separate"/>
      </w:r>
      <w:r w:rsidR="0061476C">
        <w:rPr>
          <w:noProof/>
        </w:rPr>
        <w:t>3</w:t>
      </w:r>
      <w:r w:rsidR="00E52248">
        <w:rPr>
          <w:noProof/>
        </w:rPr>
        <w:fldChar w:fldCharType="end"/>
      </w:r>
      <w:r>
        <w:t>: Počty výskytů slova uči na milion slov (NINJAL 2009)</w:t>
      </w:r>
    </w:p>
    <w:p w14:paraId="57FBEDC8" w14:textId="3E7EB14D" w:rsidR="00BF3840" w:rsidRDefault="006846E7" w:rsidP="00BF3840">
      <w:pPr>
        <w:pStyle w:val="Nadpis2"/>
        <w:numPr>
          <w:ilvl w:val="1"/>
          <w:numId w:val="3"/>
        </w:numPr>
      </w:pPr>
      <w:r>
        <w:lastRenderedPageBreak/>
        <w:t>Logistická regresní analýza</w:t>
      </w:r>
    </w:p>
    <w:p w14:paraId="76DDE7D2" w14:textId="77777777" w:rsidR="00BF3840" w:rsidRDefault="00BF3840" w:rsidP="00BF3840">
      <w:pPr>
        <w:pStyle w:val="Bezmezer"/>
      </w:pPr>
      <w:r>
        <w:t xml:space="preserve">Předcházející tabulky nabídly několik různých náhledů na výskyty pomocného podstatného jména uči v korpusu. Tyto náhledy od sebe vždy odlišovaly jednotlivé subkorpusy. Nabízí se tedy otázka, jestli pozorované rozdíly jsou statisticky významné a jestli má rozdělení těchto výskytů do </w:t>
      </w:r>
      <w:r w:rsidR="00044637">
        <w:t>subkorpusů</w:t>
      </w:r>
      <w:r>
        <w:t xml:space="preserve"> na vyskytující se způsoby zápisu </w:t>
      </w:r>
      <w:r w:rsidR="006955FF">
        <w:t>nějaký vliv, a pokud ano, jaký.</w:t>
      </w:r>
    </w:p>
    <w:p w14:paraId="3A135F25" w14:textId="37920DD2" w:rsidR="006955FF" w:rsidRDefault="006955FF" w:rsidP="006955FF">
      <w:r>
        <w:t xml:space="preserve">Před použitím regresní analýzy je třeba udělat několik rozhodnutí. Pro každou z proměnných, které se v ní vyskytnou, je třeba vybrat jednu hodnotu, která bude prohlášena </w:t>
      </w:r>
      <w:r w:rsidR="009D1923">
        <w:t>za</w:t>
      </w:r>
      <w:r>
        <w:t xml:space="preserve"> základní a vůči ní porovnány všechny ostatní hodnoty dané proměnné. Ve vyšetření vlivu subkorpusů na způsob zápisu vystupují proměnné dvě – příslušnost k subkorpusu a způsob zápisu. </w:t>
      </w:r>
      <w:r w:rsidR="008E739B">
        <w:t>Způsob zápisu může nabývat dvou hodnot. Zápis je zapsán buď kanou, nebo znakem. Použije-li se za základní hodnotu zápis kanou, ve výsledné tabulce se objeví čísla, která se interpretují jako šance na zápis znakem.</w:t>
      </w:r>
      <w:r w:rsidR="00FE061F">
        <w:t xml:space="preserve"> </w:t>
      </w:r>
      <w:r w:rsidR="00E00C37">
        <w:t>Při použití znaku jako základní hodnoty vznikne naopak šance na zápis kanou. Obě možnosti si jsou ekvivalentní. Jako základní hodnota byl pro tuto práci zvolen zápis znakem. Interpretace výsledku „šance na zápis kanou“</w:t>
      </w:r>
      <w:r w:rsidR="00210417">
        <w:t xml:space="preserve"> je vhodnější pro ta pomocná jména, pro která je zápis kanou dominantním způsobem zápisu a těchto je mezi zkoumanými</w:t>
      </w:r>
      <w:r w:rsidR="00702A8D">
        <w:t xml:space="preserve"> </w:t>
      </w:r>
      <w:r w:rsidR="00210417">
        <w:t>jmény víc. Je sice možné volit tuto hodnotu jinak pro každé zkoumané pomocné jméno, ale v zájmu snadné porovnatelnosti výsledků je</w:t>
      </w:r>
      <w:r w:rsidR="00132D55">
        <w:t xml:space="preserve"> </w:t>
      </w:r>
      <w:r w:rsidR="00210417">
        <w:t>lepší</w:t>
      </w:r>
      <w:r w:rsidR="00132D55">
        <w:t>,</w:t>
      </w:r>
      <w:r w:rsidR="00210417">
        <w:t xml:space="preserve"> jsou-li základní hodnoty zvoleny u všech jmen stejně. </w:t>
      </w:r>
      <w:r w:rsidR="00702A8D">
        <w:t>Druhou proměnnou je příslušnost k subkorpusu, k</w:t>
      </w:r>
      <w:r w:rsidR="00DD4212">
        <w:t xml:space="preserve">de byl za základní zvolen </w:t>
      </w:r>
      <w:r w:rsidR="00FE061F">
        <w:rPr>
          <w:rFonts w:hint="eastAsia"/>
        </w:rPr>
        <w:t xml:space="preserve">subkorpus </w:t>
      </w:r>
      <w:r w:rsidR="00FE061F" w:rsidRPr="00FE061F">
        <w:rPr>
          <w:i/>
        </w:rPr>
        <w:t>Vydané texty - knihy</w:t>
      </w:r>
      <w:r w:rsidR="00702A8D">
        <w:rPr>
          <w:rFonts w:hint="eastAsia"/>
        </w:rPr>
        <w:t>.</w:t>
      </w:r>
      <w:r w:rsidR="00FE061F">
        <w:t xml:space="preserve"> Tento subkorpus se ukázal jako velmi dobrý základ pro porovnávání, </w:t>
      </w:r>
      <w:r w:rsidR="00DD4212">
        <w:t>protože všechna zkoumaná pomocná jména v něm dosahují svých průměrných hodnot</w:t>
      </w:r>
      <w:r w:rsidR="00132D55">
        <w:t xml:space="preserve"> a to i</w:t>
      </w:r>
      <w:r w:rsidR="00DD4212">
        <w:t xml:space="preserve"> v četnosti, i v podíl</w:t>
      </w:r>
      <w:r w:rsidR="00132D55">
        <w:t>u</w:t>
      </w:r>
      <w:r w:rsidR="00DD4212">
        <w:t xml:space="preserve"> jednotlivých způsobů zápisu.</w:t>
      </w:r>
    </w:p>
    <w:p w14:paraId="1435F206" w14:textId="1775EB61" w:rsidR="003D6658" w:rsidRDefault="004A7F6A" w:rsidP="006955FF">
      <w:r>
        <w:t>Výsledkem</w:t>
      </w:r>
      <w:r w:rsidR="003D6658">
        <w:t xml:space="preserve"> této analýzy je model v </w:t>
      </w:r>
      <w:r w:rsidR="008154F3" w:rsidRPr="008154F3">
        <w:rPr>
          <w:i/>
        </w:rPr>
        <w:t>T</w:t>
      </w:r>
      <w:r w:rsidR="003D6658" w:rsidRPr="008154F3">
        <w:rPr>
          <w:i/>
        </w:rPr>
        <w:t>abulce 4</w:t>
      </w:r>
      <w:r w:rsidR="003D6658">
        <w:t>. Tato tabulka je převzata z online nástr</w:t>
      </w:r>
      <w:r>
        <w:t xml:space="preserve">oje Lancaster Stat Tools online (Brezina 2018) a skládá se ze dvou částí. První částí je </w:t>
      </w:r>
      <w:r w:rsidR="006509DF">
        <w:t xml:space="preserve">popis modelu. </w:t>
      </w:r>
      <w:r w:rsidR="00134245">
        <w:t xml:space="preserve">Prvním údajem v tomto popisu je výsledek testu pomocí poměru věrohodností, který má </w:t>
      </w:r>
      <w:r w:rsidR="00134245">
        <w:lastRenderedPageBreak/>
        <w:t xml:space="preserve">za </w:t>
      </w:r>
      <w:r w:rsidR="00791775">
        <w:t>cíl ověřit, že</w:t>
      </w:r>
      <w:r w:rsidR="009177D9">
        <w:t xml:space="preserve"> je tento model statisticky významně lepší, než by byl model bez vysvětlujících proměnných. (Brezina 2018) Pokud by v tomto testu vyšlo, že rozdíl není statisticky významný, znamenalo by to, že v další interpretaci by už nemělo smysl pokračovat, protože spočtené hodnoty mohou s dostatečně velkou pravděpodobností</w:t>
      </w:r>
      <w:r w:rsidR="009177D9">
        <w:rPr>
          <w:rStyle w:val="Znakapoznpodarou"/>
        </w:rPr>
        <w:footnoteReference w:id="1"/>
      </w:r>
      <w:r w:rsidR="009177D9">
        <w:t xml:space="preserve"> být pouze dílem náhody.</w:t>
      </w:r>
      <w:r w:rsidR="00431C26">
        <w:t xml:space="preserve"> Výsledek tohoto testu je, že model s příslušností k subkorpusu statisticky významně lepší je. U výsledného čísla</w:t>
      </w:r>
      <w:r w:rsidR="009D1923">
        <w:t xml:space="preserve"> </w:t>
      </w:r>
      <w:r w:rsidR="00431C26">
        <w:t xml:space="preserve">a jemu odpovídající hladině významnosti, zde označené jako </w:t>
      </w:r>
      <w:r w:rsidR="00431C26" w:rsidRPr="00431C26">
        <w:rPr>
          <w:i/>
        </w:rPr>
        <w:t>p</w:t>
      </w:r>
      <w:r w:rsidR="00431C26">
        <w:t xml:space="preserve">, je pouze důležité, aby </w:t>
      </w:r>
      <w:r w:rsidR="002329C0">
        <w:t>nebyla překročena</w:t>
      </w:r>
      <w:r w:rsidR="00431C26">
        <w:t xml:space="preserve"> hranice 0,05. Čím větší toto číslo je, tím menší je hladina významnosti, což je </w:t>
      </w:r>
      <w:r w:rsidR="001F14E2">
        <w:t>sice dobře, ale na další interpretaci to nemá vliv.</w:t>
      </w:r>
    </w:p>
    <w:tbl>
      <w:tblPr>
        <w:tblStyle w:val="Mkatabulky"/>
        <w:tblW w:w="0" w:type="auto"/>
        <w:tblBorders>
          <w:insideH w:val="none" w:sz="0" w:space="0" w:color="auto"/>
          <w:insideV w:val="none" w:sz="0" w:space="0" w:color="auto"/>
        </w:tblBorders>
        <w:tblCellMar>
          <w:bottom w:w="85" w:type="dxa"/>
        </w:tblCellMar>
        <w:tblLook w:val="0480" w:firstRow="0" w:lastRow="0" w:firstColumn="1" w:lastColumn="0" w:noHBand="0" w:noVBand="1"/>
      </w:tblPr>
      <w:tblGrid>
        <w:gridCol w:w="8152"/>
      </w:tblGrid>
      <w:tr w:rsidR="005277DC" w:rsidRPr="005277DC" w14:paraId="361EDB31" w14:textId="77777777" w:rsidTr="00A66FCD">
        <w:trPr>
          <w:cantSplit/>
        </w:trPr>
        <w:tc>
          <w:tcPr>
            <w:tcW w:w="9062" w:type="dxa"/>
          </w:tcPr>
          <w:p w14:paraId="74929303" w14:textId="50151238" w:rsidR="005277DC" w:rsidRPr="005277DC" w:rsidRDefault="005277DC" w:rsidP="00483048">
            <w:pPr>
              <w:keepNext/>
              <w:spacing w:before="120" w:after="160" w:line="259" w:lineRule="auto"/>
              <w:ind w:firstLine="0"/>
              <w:jc w:val="left"/>
              <w:rPr>
                <w:sz w:val="22"/>
              </w:rPr>
            </w:pPr>
            <w:r w:rsidRPr="005277DC">
              <w:rPr>
                <w:rFonts w:eastAsia="Times New Roman" w:cs="Times New Roman"/>
                <w:szCs w:val="24"/>
              </w:rPr>
              <w:t>Overall model statistics: Likelihood ratio test (LL): 612</w:t>
            </w:r>
            <w:r w:rsidR="001A3BFF">
              <w:rPr>
                <w:rFonts w:eastAsia="Times New Roman" w:cs="Times New Roman"/>
                <w:szCs w:val="24"/>
              </w:rPr>
              <w:t>,</w:t>
            </w:r>
            <w:r w:rsidRPr="005277DC">
              <w:rPr>
                <w:rFonts w:eastAsia="Times New Roman" w:cs="Times New Roman"/>
                <w:szCs w:val="24"/>
              </w:rPr>
              <w:t>83 (p &lt; 0</w:t>
            </w:r>
            <w:r w:rsidR="001A3BFF">
              <w:rPr>
                <w:rFonts w:eastAsia="Times New Roman" w:cs="Times New Roman"/>
                <w:szCs w:val="24"/>
              </w:rPr>
              <w:t>,</w:t>
            </w:r>
            <w:r w:rsidRPr="005277DC">
              <w:rPr>
                <w:rFonts w:eastAsia="Times New Roman" w:cs="Times New Roman"/>
                <w:szCs w:val="24"/>
              </w:rPr>
              <w:t>0001) -&gt; SIGNIFICANT; C-index: 0</w:t>
            </w:r>
            <w:r w:rsidR="001A3BFF">
              <w:rPr>
                <w:rFonts w:eastAsia="Times New Roman" w:cs="Times New Roman"/>
                <w:szCs w:val="24"/>
              </w:rPr>
              <w:t>,</w:t>
            </w:r>
            <w:r w:rsidRPr="005277DC">
              <w:rPr>
                <w:rFonts w:eastAsia="Times New Roman" w:cs="Times New Roman"/>
                <w:szCs w:val="24"/>
              </w:rPr>
              <w:t>61 -&gt; NOT ACCEPTABLE; Nagelkerke R</w:t>
            </w:r>
            <w:r w:rsidRPr="005277DC">
              <w:rPr>
                <w:rFonts w:eastAsia="Times New Roman" w:cs="Times New Roman"/>
                <w:szCs w:val="24"/>
                <w:vertAlign w:val="superscript"/>
              </w:rPr>
              <w:t>2</w:t>
            </w:r>
            <w:r w:rsidRPr="005277DC">
              <w:rPr>
                <w:rFonts w:eastAsia="Times New Roman" w:cs="Times New Roman"/>
                <w:szCs w:val="24"/>
              </w:rPr>
              <w:t>: 0</w:t>
            </w:r>
            <w:r w:rsidR="001A3BFF">
              <w:rPr>
                <w:rFonts w:eastAsia="Times New Roman" w:cs="Times New Roman"/>
                <w:szCs w:val="24"/>
              </w:rPr>
              <w:t>,</w:t>
            </w:r>
            <w:r w:rsidRPr="005277DC">
              <w:rPr>
                <w:rFonts w:eastAsia="Times New Roman" w:cs="Times New Roman"/>
                <w:szCs w:val="24"/>
              </w:rPr>
              <w:t>04; AIC: 16959</w:t>
            </w:r>
            <w:r w:rsidR="001A3BFF">
              <w:rPr>
                <w:rFonts w:eastAsia="Times New Roman" w:cs="Times New Roman"/>
                <w:szCs w:val="24"/>
              </w:rPr>
              <w:t>,</w:t>
            </w:r>
            <w:r w:rsidRPr="005277DC">
              <w:rPr>
                <w:rFonts w:eastAsia="Times New Roman" w:cs="Times New Roman"/>
                <w:szCs w:val="24"/>
              </w:rPr>
              <w:t>91</w:t>
            </w:r>
          </w:p>
        </w:tc>
      </w:tr>
      <w:tr w:rsidR="005277DC" w:rsidRPr="005277DC" w14:paraId="6DD31A0A" w14:textId="77777777" w:rsidTr="00A66FCD">
        <w:trPr>
          <w:cantSplit/>
        </w:trPr>
        <w:tc>
          <w:tcPr>
            <w:tcW w:w="9062" w:type="dxa"/>
          </w:tcPr>
          <w:p w14:paraId="58CBBF71" w14:textId="77777777" w:rsidR="005277DC" w:rsidRPr="005277DC" w:rsidRDefault="005277DC" w:rsidP="005277DC">
            <w:pPr>
              <w:keepNext/>
              <w:spacing w:before="120" w:after="100" w:afterAutospacing="1" w:line="240" w:lineRule="auto"/>
              <w:ind w:firstLine="0"/>
              <w:jc w:val="left"/>
              <w:rPr>
                <w:rFonts w:eastAsia="Times New Roman" w:cs="Times New Roman"/>
                <w:szCs w:val="24"/>
              </w:rPr>
            </w:pPr>
            <w:r w:rsidRPr="005277DC">
              <w:rPr>
                <w:rFonts w:eastAsia="Times New Roman" w:cs="Times New Roman"/>
                <w:szCs w:val="24"/>
              </w:rPr>
              <w:t>Coefficients: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86"/>
              <w:gridCol w:w="803"/>
              <w:gridCol w:w="946"/>
              <w:gridCol w:w="670"/>
              <w:gridCol w:w="679"/>
              <w:gridCol w:w="803"/>
              <w:gridCol w:w="613"/>
              <w:gridCol w:w="716"/>
            </w:tblGrid>
            <w:tr w:rsidR="00A358EA" w:rsidRPr="005277DC" w14:paraId="041C7BAE" w14:textId="77777777" w:rsidTr="00B022E7">
              <w:trPr>
                <w:jc w:val="center"/>
              </w:trPr>
              <w:tc>
                <w:tcPr>
                  <w:tcW w:w="2386" w:type="dxa"/>
                  <w:vAlign w:val="center"/>
                  <w:hideMark/>
                </w:tcPr>
                <w:p w14:paraId="1B7C2752" w14:textId="77777777" w:rsidR="005277DC" w:rsidRPr="00A358EA" w:rsidRDefault="005277DC" w:rsidP="00A358EA">
                  <w:pPr>
                    <w:keepNext/>
                    <w:spacing w:line="240" w:lineRule="auto"/>
                    <w:ind w:firstLine="0"/>
                    <w:jc w:val="center"/>
                    <w:rPr>
                      <w:rFonts w:asciiTheme="minorHAnsi" w:eastAsia="Times New Roman" w:hAnsiTheme="minorHAnsi" w:cs="Times New Roman"/>
                      <w:sz w:val="22"/>
                    </w:rPr>
                  </w:pPr>
                </w:p>
              </w:tc>
              <w:tc>
                <w:tcPr>
                  <w:tcW w:w="803" w:type="dxa"/>
                  <w:vAlign w:val="center"/>
                  <w:hideMark/>
                </w:tcPr>
                <w:p w14:paraId="04FD4365" w14:textId="77777777" w:rsidR="005277DC" w:rsidRPr="00483048" w:rsidRDefault="005277DC" w:rsidP="00A358EA">
                  <w:pPr>
                    <w:keepNext/>
                    <w:spacing w:line="240" w:lineRule="auto"/>
                    <w:ind w:firstLine="0"/>
                    <w:jc w:val="center"/>
                    <w:rPr>
                      <w:rFonts w:asciiTheme="minorHAnsi" w:eastAsia="Times New Roman" w:hAnsiTheme="minorHAnsi" w:cs="Times New Roman"/>
                      <w:sz w:val="21"/>
                      <w:szCs w:val="21"/>
                    </w:rPr>
                  </w:pPr>
                  <w:r w:rsidRPr="00483048">
                    <w:rPr>
                      <w:rFonts w:asciiTheme="minorHAnsi" w:eastAsia="Times New Roman" w:hAnsiTheme="minorHAnsi" w:cs="Times New Roman"/>
                      <w:sz w:val="21"/>
                      <w:szCs w:val="21"/>
                    </w:rPr>
                    <w:t>Estimate (log odds)</w:t>
                  </w:r>
                </w:p>
              </w:tc>
              <w:tc>
                <w:tcPr>
                  <w:tcW w:w="946" w:type="dxa"/>
                  <w:vAlign w:val="center"/>
                  <w:hideMark/>
                </w:tcPr>
                <w:p w14:paraId="030F1B90" w14:textId="77777777" w:rsidR="005277DC" w:rsidRPr="00483048" w:rsidRDefault="005277DC" w:rsidP="00A358EA">
                  <w:pPr>
                    <w:keepNext/>
                    <w:spacing w:line="240" w:lineRule="auto"/>
                    <w:ind w:firstLine="0"/>
                    <w:jc w:val="center"/>
                    <w:rPr>
                      <w:rFonts w:asciiTheme="minorHAnsi" w:eastAsia="Times New Roman" w:hAnsiTheme="minorHAnsi" w:cs="Times New Roman"/>
                      <w:sz w:val="21"/>
                      <w:szCs w:val="21"/>
                    </w:rPr>
                  </w:pPr>
                  <w:r w:rsidRPr="00483048">
                    <w:rPr>
                      <w:rFonts w:asciiTheme="minorHAnsi" w:eastAsia="Times New Roman" w:hAnsiTheme="minorHAnsi" w:cs="Times New Roman"/>
                      <w:sz w:val="21"/>
                      <w:szCs w:val="21"/>
                    </w:rPr>
                    <w:t>Standard Error</w:t>
                  </w:r>
                </w:p>
              </w:tc>
              <w:tc>
                <w:tcPr>
                  <w:tcW w:w="670" w:type="dxa"/>
                  <w:vAlign w:val="center"/>
                  <w:hideMark/>
                </w:tcPr>
                <w:p w14:paraId="75A11AAE" w14:textId="77777777" w:rsidR="005277DC" w:rsidRPr="00483048" w:rsidRDefault="005277DC" w:rsidP="00A358EA">
                  <w:pPr>
                    <w:keepNext/>
                    <w:spacing w:line="240" w:lineRule="auto"/>
                    <w:ind w:firstLine="0"/>
                    <w:jc w:val="center"/>
                    <w:rPr>
                      <w:rFonts w:asciiTheme="minorHAnsi" w:eastAsia="Times New Roman" w:hAnsiTheme="minorHAnsi" w:cs="Times New Roman"/>
                      <w:sz w:val="21"/>
                      <w:szCs w:val="21"/>
                    </w:rPr>
                  </w:pPr>
                  <w:r w:rsidRPr="00483048">
                    <w:rPr>
                      <w:rFonts w:asciiTheme="minorHAnsi" w:eastAsia="Times New Roman" w:hAnsiTheme="minorHAnsi" w:cs="Times New Roman"/>
                      <w:sz w:val="21"/>
                      <w:szCs w:val="21"/>
                    </w:rPr>
                    <w:t>Z value (Wald)</w:t>
                  </w:r>
                </w:p>
              </w:tc>
              <w:tc>
                <w:tcPr>
                  <w:tcW w:w="679" w:type="dxa"/>
                  <w:vAlign w:val="center"/>
                  <w:hideMark/>
                </w:tcPr>
                <w:p w14:paraId="40898E55" w14:textId="77777777" w:rsidR="005277DC" w:rsidRPr="00483048" w:rsidRDefault="005277DC" w:rsidP="00A358EA">
                  <w:pPr>
                    <w:keepNext/>
                    <w:spacing w:line="240" w:lineRule="auto"/>
                    <w:ind w:firstLine="0"/>
                    <w:jc w:val="center"/>
                    <w:rPr>
                      <w:rFonts w:asciiTheme="minorHAnsi" w:eastAsia="Times New Roman" w:hAnsiTheme="minorHAnsi" w:cs="Times New Roman"/>
                      <w:sz w:val="21"/>
                      <w:szCs w:val="21"/>
                    </w:rPr>
                  </w:pPr>
                  <w:r w:rsidRPr="00483048">
                    <w:rPr>
                      <w:rFonts w:asciiTheme="minorHAnsi" w:eastAsia="Times New Roman" w:hAnsiTheme="minorHAnsi" w:cs="Times New Roman"/>
                      <w:sz w:val="21"/>
                      <w:szCs w:val="21"/>
                    </w:rPr>
                    <w:t>p-value</w:t>
                  </w:r>
                </w:p>
              </w:tc>
              <w:tc>
                <w:tcPr>
                  <w:tcW w:w="803" w:type="dxa"/>
                  <w:vAlign w:val="center"/>
                  <w:hideMark/>
                </w:tcPr>
                <w:p w14:paraId="78262CDD" w14:textId="77777777" w:rsidR="005277DC" w:rsidRPr="00483048" w:rsidRDefault="005277DC" w:rsidP="00A358EA">
                  <w:pPr>
                    <w:keepNext/>
                    <w:spacing w:line="240" w:lineRule="auto"/>
                    <w:ind w:firstLine="0"/>
                    <w:jc w:val="center"/>
                    <w:rPr>
                      <w:rFonts w:asciiTheme="minorHAnsi" w:eastAsia="Times New Roman" w:hAnsiTheme="minorHAnsi" w:cs="Times New Roman"/>
                      <w:sz w:val="21"/>
                      <w:szCs w:val="21"/>
                    </w:rPr>
                  </w:pPr>
                  <w:r w:rsidRPr="00483048">
                    <w:rPr>
                      <w:rFonts w:asciiTheme="minorHAnsi" w:eastAsia="Times New Roman" w:hAnsiTheme="minorHAnsi" w:cs="Times New Roman"/>
                      <w:sz w:val="21"/>
                      <w:szCs w:val="21"/>
                    </w:rPr>
                    <w:t>Estimate (odds)</w:t>
                  </w:r>
                </w:p>
              </w:tc>
              <w:tc>
                <w:tcPr>
                  <w:tcW w:w="613" w:type="dxa"/>
                  <w:vAlign w:val="center"/>
                  <w:hideMark/>
                </w:tcPr>
                <w:p w14:paraId="6B942041" w14:textId="77777777" w:rsidR="005277DC" w:rsidRPr="00483048" w:rsidRDefault="00C150EB" w:rsidP="00A358EA">
                  <w:pPr>
                    <w:keepNext/>
                    <w:spacing w:line="240" w:lineRule="auto"/>
                    <w:ind w:firstLine="0"/>
                    <w:jc w:val="center"/>
                    <w:rPr>
                      <w:rFonts w:asciiTheme="minorHAnsi" w:eastAsia="Times New Roman" w:hAnsiTheme="minorHAnsi" w:cs="Times New Roman"/>
                      <w:sz w:val="21"/>
                      <w:szCs w:val="21"/>
                    </w:rPr>
                  </w:pPr>
                  <w:r w:rsidRPr="00483048">
                    <w:rPr>
                      <w:rFonts w:asciiTheme="minorHAnsi" w:eastAsia="Times New Roman" w:hAnsiTheme="minorHAnsi" w:cs="Times New Roman"/>
                      <w:sz w:val="21"/>
                      <w:szCs w:val="21"/>
                    </w:rPr>
                    <w:t>95%</w:t>
                  </w:r>
                  <w:r w:rsidRPr="00483048">
                    <w:rPr>
                      <w:rFonts w:asciiTheme="minorHAnsi" w:eastAsia="Times New Roman" w:hAnsiTheme="minorHAnsi" w:cs="Times New Roman"/>
                      <w:sz w:val="21"/>
                      <w:szCs w:val="21"/>
                    </w:rPr>
                    <w:br/>
                  </w:r>
                  <w:r w:rsidR="005277DC" w:rsidRPr="00483048">
                    <w:rPr>
                      <w:rFonts w:asciiTheme="minorHAnsi" w:eastAsia="Times New Roman" w:hAnsiTheme="minorHAnsi" w:cs="Times New Roman"/>
                      <w:sz w:val="21"/>
                      <w:szCs w:val="21"/>
                    </w:rPr>
                    <w:t>CI</w:t>
                  </w:r>
                  <w:r w:rsidR="005277DC" w:rsidRPr="00483048">
                    <w:rPr>
                      <w:rFonts w:asciiTheme="minorHAnsi" w:eastAsia="Times New Roman" w:hAnsiTheme="minorHAnsi" w:cs="Times New Roman"/>
                      <w:sz w:val="21"/>
                      <w:szCs w:val="21"/>
                    </w:rPr>
                    <w:br/>
                    <w:t>lower</w:t>
                  </w:r>
                </w:p>
              </w:tc>
              <w:tc>
                <w:tcPr>
                  <w:tcW w:w="716" w:type="dxa"/>
                  <w:vAlign w:val="center"/>
                  <w:hideMark/>
                </w:tcPr>
                <w:p w14:paraId="2CA65520" w14:textId="77777777" w:rsidR="005277DC" w:rsidRPr="00483048" w:rsidRDefault="00C150EB" w:rsidP="00A358EA">
                  <w:pPr>
                    <w:keepNext/>
                    <w:spacing w:line="240" w:lineRule="auto"/>
                    <w:ind w:firstLine="0"/>
                    <w:jc w:val="center"/>
                    <w:rPr>
                      <w:rFonts w:asciiTheme="minorHAnsi" w:eastAsia="Times New Roman" w:hAnsiTheme="minorHAnsi" w:cs="Times New Roman"/>
                      <w:sz w:val="21"/>
                      <w:szCs w:val="21"/>
                    </w:rPr>
                  </w:pPr>
                  <w:r w:rsidRPr="00483048">
                    <w:rPr>
                      <w:rFonts w:asciiTheme="minorHAnsi" w:eastAsia="Times New Roman" w:hAnsiTheme="minorHAnsi" w:cs="Times New Roman"/>
                      <w:sz w:val="21"/>
                      <w:szCs w:val="21"/>
                    </w:rPr>
                    <w:t>95%</w:t>
                  </w:r>
                  <w:r w:rsidRPr="00483048">
                    <w:rPr>
                      <w:rFonts w:asciiTheme="minorHAnsi" w:eastAsia="Times New Roman" w:hAnsiTheme="minorHAnsi" w:cs="Times New Roman"/>
                      <w:sz w:val="21"/>
                      <w:szCs w:val="21"/>
                    </w:rPr>
                    <w:br/>
                  </w:r>
                  <w:r w:rsidR="005277DC" w:rsidRPr="00483048">
                    <w:rPr>
                      <w:rFonts w:asciiTheme="minorHAnsi" w:eastAsia="Times New Roman" w:hAnsiTheme="minorHAnsi" w:cs="Times New Roman"/>
                      <w:sz w:val="21"/>
                      <w:szCs w:val="21"/>
                    </w:rPr>
                    <w:t xml:space="preserve">CI </w:t>
                  </w:r>
                  <w:r w:rsidR="005277DC" w:rsidRPr="00483048">
                    <w:rPr>
                      <w:rFonts w:asciiTheme="minorHAnsi" w:eastAsia="Times New Roman" w:hAnsiTheme="minorHAnsi" w:cs="Times New Roman"/>
                      <w:sz w:val="21"/>
                      <w:szCs w:val="21"/>
                    </w:rPr>
                    <w:br/>
                    <w:t>upper</w:t>
                  </w:r>
                </w:p>
              </w:tc>
            </w:tr>
            <w:tr w:rsidR="00A358EA" w:rsidRPr="005277DC" w14:paraId="1BEE7CE1" w14:textId="77777777" w:rsidTr="00B022E7">
              <w:trPr>
                <w:jc w:val="center"/>
              </w:trPr>
              <w:tc>
                <w:tcPr>
                  <w:tcW w:w="2386" w:type="dxa"/>
                  <w:vAlign w:val="center"/>
                  <w:hideMark/>
                </w:tcPr>
                <w:p w14:paraId="53C16786" w14:textId="77777777" w:rsidR="005277DC" w:rsidRPr="00A358EA" w:rsidRDefault="005277DC" w:rsidP="005277DC">
                  <w:pPr>
                    <w:keepNext/>
                    <w:spacing w:line="240" w:lineRule="auto"/>
                    <w:ind w:firstLine="0"/>
                    <w:jc w:val="left"/>
                    <w:rPr>
                      <w:rFonts w:asciiTheme="minorHAnsi" w:eastAsia="Times New Roman" w:hAnsiTheme="minorHAnsi" w:cs="Times New Roman"/>
                      <w:sz w:val="22"/>
                    </w:rPr>
                  </w:pPr>
                  <w:r w:rsidRPr="00A358EA">
                    <w:rPr>
                      <w:rFonts w:asciiTheme="minorHAnsi" w:eastAsia="Times New Roman" w:hAnsiTheme="minorHAnsi" w:cs="Times New Roman"/>
                      <w:sz w:val="22"/>
                    </w:rPr>
                    <w:t>(Intercept)</w:t>
                  </w:r>
                </w:p>
              </w:tc>
              <w:tc>
                <w:tcPr>
                  <w:tcW w:w="803" w:type="dxa"/>
                  <w:vAlign w:val="center"/>
                  <w:hideMark/>
                </w:tcPr>
                <w:p w14:paraId="3DAD6B0D" w14:textId="776132E5"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2</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344</w:t>
                  </w:r>
                </w:p>
              </w:tc>
              <w:tc>
                <w:tcPr>
                  <w:tcW w:w="946" w:type="dxa"/>
                  <w:vAlign w:val="center"/>
                  <w:hideMark/>
                </w:tcPr>
                <w:p w14:paraId="40F0B6BA" w14:textId="4D7E1893"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036</w:t>
                  </w:r>
                </w:p>
              </w:tc>
              <w:tc>
                <w:tcPr>
                  <w:tcW w:w="670" w:type="dxa"/>
                  <w:vAlign w:val="center"/>
                  <w:hideMark/>
                </w:tcPr>
                <w:p w14:paraId="6D9ED1B6" w14:textId="7CB8477E"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64</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360</w:t>
                  </w:r>
                </w:p>
              </w:tc>
              <w:tc>
                <w:tcPr>
                  <w:tcW w:w="679" w:type="dxa"/>
                  <w:vAlign w:val="center"/>
                  <w:hideMark/>
                </w:tcPr>
                <w:p w14:paraId="00E032A6" w14:textId="22E608F7"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000</w:t>
                  </w:r>
                </w:p>
              </w:tc>
              <w:tc>
                <w:tcPr>
                  <w:tcW w:w="803" w:type="dxa"/>
                  <w:vAlign w:val="center"/>
                  <w:hideMark/>
                </w:tcPr>
                <w:p w14:paraId="3403C3C7" w14:textId="148CAF7C"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426</w:t>
                  </w:r>
                </w:p>
              </w:tc>
              <w:tc>
                <w:tcPr>
                  <w:tcW w:w="613" w:type="dxa"/>
                  <w:vAlign w:val="center"/>
                  <w:hideMark/>
                </w:tcPr>
                <w:p w14:paraId="0F7A68FD" w14:textId="297D84DF"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9</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714</w:t>
                  </w:r>
                </w:p>
              </w:tc>
              <w:tc>
                <w:tcPr>
                  <w:tcW w:w="716" w:type="dxa"/>
                  <w:vAlign w:val="center"/>
                  <w:hideMark/>
                </w:tcPr>
                <w:p w14:paraId="661A59A8" w14:textId="12685CA1"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206</w:t>
                  </w:r>
                </w:p>
              </w:tc>
            </w:tr>
            <w:tr w:rsidR="00A358EA" w:rsidRPr="005277DC" w14:paraId="470A549A" w14:textId="77777777" w:rsidTr="00B022E7">
              <w:trPr>
                <w:jc w:val="center"/>
              </w:trPr>
              <w:tc>
                <w:tcPr>
                  <w:tcW w:w="2386" w:type="dxa"/>
                  <w:vAlign w:val="center"/>
                  <w:hideMark/>
                </w:tcPr>
                <w:p w14:paraId="273982AE" w14:textId="3396ADFE" w:rsidR="005277DC" w:rsidRPr="00A358EA" w:rsidRDefault="00B022E7" w:rsidP="005277DC">
                  <w:pPr>
                    <w:keepNext/>
                    <w:spacing w:line="240" w:lineRule="auto"/>
                    <w:ind w:firstLine="0"/>
                    <w:jc w:val="left"/>
                    <w:rPr>
                      <w:rFonts w:asciiTheme="minorHAnsi" w:eastAsia="Times New Roman" w:hAnsiTheme="minorHAnsi" w:cs="Times New Roman"/>
                      <w:sz w:val="22"/>
                    </w:rPr>
                  </w:pPr>
                  <w:r w:rsidRPr="00B022E7">
                    <w:rPr>
                      <w:rFonts w:asciiTheme="minorHAnsi" w:eastAsia="ＭＳ 明朝" w:hAnsiTheme="minorHAnsi" w:cs="ＭＳ 明朝"/>
                      <w:sz w:val="22"/>
                    </w:rPr>
                    <w:t>Vydané texty - časopisy</w:t>
                  </w:r>
                </w:p>
              </w:tc>
              <w:tc>
                <w:tcPr>
                  <w:tcW w:w="803" w:type="dxa"/>
                  <w:vAlign w:val="center"/>
                  <w:hideMark/>
                </w:tcPr>
                <w:p w14:paraId="645716DD" w14:textId="153EDBB2"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543</w:t>
                  </w:r>
                </w:p>
              </w:tc>
              <w:tc>
                <w:tcPr>
                  <w:tcW w:w="946" w:type="dxa"/>
                  <w:vAlign w:val="center"/>
                  <w:hideMark/>
                </w:tcPr>
                <w:p w14:paraId="7C150B53" w14:textId="4C780070"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146</w:t>
                  </w:r>
                </w:p>
              </w:tc>
              <w:tc>
                <w:tcPr>
                  <w:tcW w:w="670" w:type="dxa"/>
                  <w:vAlign w:val="center"/>
                  <w:hideMark/>
                </w:tcPr>
                <w:p w14:paraId="4E6076B2" w14:textId="7E9E95E6"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3</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725</w:t>
                  </w:r>
                </w:p>
              </w:tc>
              <w:tc>
                <w:tcPr>
                  <w:tcW w:w="679" w:type="dxa"/>
                  <w:vAlign w:val="center"/>
                  <w:hideMark/>
                </w:tcPr>
                <w:p w14:paraId="65B67B21" w14:textId="30B89AAC"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000</w:t>
                  </w:r>
                </w:p>
              </w:tc>
              <w:tc>
                <w:tcPr>
                  <w:tcW w:w="803" w:type="dxa"/>
                  <w:vAlign w:val="center"/>
                  <w:hideMark/>
                </w:tcPr>
                <w:p w14:paraId="249E937B" w14:textId="23D4F3B7"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721</w:t>
                  </w:r>
                </w:p>
              </w:tc>
              <w:tc>
                <w:tcPr>
                  <w:tcW w:w="613" w:type="dxa"/>
                  <w:vAlign w:val="center"/>
                  <w:hideMark/>
                </w:tcPr>
                <w:p w14:paraId="728C9E23" w14:textId="1714D2DB"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306</w:t>
                  </w:r>
                </w:p>
              </w:tc>
              <w:tc>
                <w:tcPr>
                  <w:tcW w:w="716" w:type="dxa"/>
                  <w:vAlign w:val="center"/>
                  <w:hideMark/>
                </w:tcPr>
                <w:p w14:paraId="179B975C" w14:textId="6A0E6E8D"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2</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316</w:t>
                  </w:r>
                </w:p>
              </w:tc>
            </w:tr>
            <w:tr w:rsidR="00A358EA" w:rsidRPr="005277DC" w14:paraId="3D0B6B38" w14:textId="77777777" w:rsidTr="00B022E7">
              <w:trPr>
                <w:jc w:val="center"/>
              </w:trPr>
              <w:tc>
                <w:tcPr>
                  <w:tcW w:w="2386" w:type="dxa"/>
                  <w:vAlign w:val="center"/>
                  <w:hideMark/>
                </w:tcPr>
                <w:p w14:paraId="725C69EA" w14:textId="2A8A6D5E" w:rsidR="005277DC" w:rsidRPr="00A358EA" w:rsidRDefault="00B022E7" w:rsidP="005277DC">
                  <w:pPr>
                    <w:keepNext/>
                    <w:spacing w:line="240" w:lineRule="auto"/>
                    <w:ind w:firstLine="0"/>
                    <w:jc w:val="left"/>
                    <w:rPr>
                      <w:rFonts w:asciiTheme="minorHAnsi" w:eastAsia="Times New Roman" w:hAnsiTheme="minorHAnsi" w:cs="Times New Roman"/>
                      <w:sz w:val="22"/>
                    </w:rPr>
                  </w:pPr>
                  <w:r w:rsidRPr="00B022E7">
                    <w:rPr>
                      <w:rFonts w:asciiTheme="minorHAnsi" w:eastAsia="ＭＳ 明朝" w:hAnsiTheme="minorHAnsi" w:cs="ＭＳ 明朝"/>
                      <w:sz w:val="22"/>
                    </w:rPr>
                    <w:t>Vydané texty - noviny</w:t>
                  </w:r>
                </w:p>
              </w:tc>
              <w:tc>
                <w:tcPr>
                  <w:tcW w:w="803" w:type="dxa"/>
                  <w:vAlign w:val="center"/>
                  <w:hideMark/>
                </w:tcPr>
                <w:p w14:paraId="5E582B45" w14:textId="016196E9"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842</w:t>
                  </w:r>
                </w:p>
              </w:tc>
              <w:tc>
                <w:tcPr>
                  <w:tcW w:w="946" w:type="dxa"/>
                  <w:vAlign w:val="center"/>
                  <w:hideMark/>
                </w:tcPr>
                <w:p w14:paraId="7780DA3E" w14:textId="16825635"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266</w:t>
                  </w:r>
                </w:p>
              </w:tc>
              <w:tc>
                <w:tcPr>
                  <w:tcW w:w="670" w:type="dxa"/>
                  <w:vAlign w:val="center"/>
                  <w:hideMark/>
                </w:tcPr>
                <w:p w14:paraId="2541771C" w14:textId="13848E25"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3</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166</w:t>
                  </w:r>
                </w:p>
              </w:tc>
              <w:tc>
                <w:tcPr>
                  <w:tcW w:w="679" w:type="dxa"/>
                  <w:vAlign w:val="center"/>
                  <w:hideMark/>
                </w:tcPr>
                <w:p w14:paraId="5B8326F1" w14:textId="49C6E7C5"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002</w:t>
                  </w:r>
                </w:p>
              </w:tc>
              <w:tc>
                <w:tcPr>
                  <w:tcW w:w="803" w:type="dxa"/>
                  <w:vAlign w:val="center"/>
                  <w:hideMark/>
                </w:tcPr>
                <w:p w14:paraId="5179C71D" w14:textId="6145F57B"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2</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321</w:t>
                  </w:r>
                </w:p>
              </w:tc>
              <w:tc>
                <w:tcPr>
                  <w:tcW w:w="613" w:type="dxa"/>
                  <w:vAlign w:val="center"/>
                  <w:hideMark/>
                </w:tcPr>
                <w:p w14:paraId="47D87C06" w14:textId="6ADFACA4"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430</w:t>
                  </w:r>
                </w:p>
              </w:tc>
              <w:tc>
                <w:tcPr>
                  <w:tcW w:w="716" w:type="dxa"/>
                  <w:vAlign w:val="center"/>
                  <w:hideMark/>
                </w:tcPr>
                <w:p w14:paraId="571ADFE0" w14:textId="6B993943" w:rsidR="005277DC" w:rsidRPr="00A358EA" w:rsidRDefault="005277DC" w:rsidP="00A358EA">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4</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086</w:t>
                  </w:r>
                </w:p>
              </w:tc>
            </w:tr>
            <w:tr w:rsidR="00B022E7" w:rsidRPr="005277DC" w14:paraId="4B7D9AAB" w14:textId="77777777" w:rsidTr="00B022E7">
              <w:trPr>
                <w:jc w:val="center"/>
              </w:trPr>
              <w:tc>
                <w:tcPr>
                  <w:tcW w:w="2386" w:type="dxa"/>
                  <w:hideMark/>
                </w:tcPr>
                <w:p w14:paraId="7A1D0AD2" w14:textId="2446E881" w:rsidR="00B022E7" w:rsidRPr="00B022E7" w:rsidRDefault="00B022E7" w:rsidP="000949FC">
                  <w:pPr>
                    <w:keepNext/>
                    <w:spacing w:line="240" w:lineRule="auto"/>
                    <w:ind w:firstLine="0"/>
                    <w:jc w:val="left"/>
                    <w:rPr>
                      <w:rFonts w:asciiTheme="minorHAnsi" w:eastAsia="Times New Roman" w:hAnsiTheme="minorHAnsi" w:cs="Times New Roman"/>
                      <w:sz w:val="22"/>
                    </w:rPr>
                  </w:pPr>
                  <w:r w:rsidRPr="00B022E7">
                    <w:rPr>
                      <w:rFonts w:asciiTheme="minorHAnsi" w:hAnsiTheme="minorHAnsi"/>
                      <w:sz w:val="22"/>
                    </w:rPr>
                    <w:t xml:space="preserve">Knihy v </w:t>
                  </w:r>
                  <w:r w:rsidR="000949FC">
                    <w:rPr>
                      <w:rFonts w:asciiTheme="minorHAnsi" w:hAnsiTheme="minorHAnsi"/>
                      <w:sz w:val="22"/>
                    </w:rPr>
                    <w:t>knihovnách</w:t>
                  </w:r>
                </w:p>
              </w:tc>
              <w:tc>
                <w:tcPr>
                  <w:tcW w:w="803" w:type="dxa"/>
                  <w:vAlign w:val="center"/>
                  <w:hideMark/>
                </w:tcPr>
                <w:p w14:paraId="4735256E" w14:textId="7DD53B08"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145</w:t>
                  </w:r>
                </w:p>
              </w:tc>
              <w:tc>
                <w:tcPr>
                  <w:tcW w:w="946" w:type="dxa"/>
                  <w:vAlign w:val="center"/>
                  <w:hideMark/>
                </w:tcPr>
                <w:p w14:paraId="5CE9D2A3" w14:textId="492D5943"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051</w:t>
                  </w:r>
                </w:p>
              </w:tc>
              <w:tc>
                <w:tcPr>
                  <w:tcW w:w="670" w:type="dxa"/>
                  <w:vAlign w:val="center"/>
                  <w:hideMark/>
                </w:tcPr>
                <w:p w14:paraId="1142A3B7" w14:textId="304CD736"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2</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852</w:t>
                  </w:r>
                </w:p>
              </w:tc>
              <w:tc>
                <w:tcPr>
                  <w:tcW w:w="679" w:type="dxa"/>
                  <w:vAlign w:val="center"/>
                  <w:hideMark/>
                </w:tcPr>
                <w:p w14:paraId="448F578E" w14:textId="1928E8E0"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004</w:t>
                  </w:r>
                </w:p>
              </w:tc>
              <w:tc>
                <w:tcPr>
                  <w:tcW w:w="803" w:type="dxa"/>
                  <w:vAlign w:val="center"/>
                  <w:hideMark/>
                </w:tcPr>
                <w:p w14:paraId="4A1EC5A4" w14:textId="660A1266"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157</w:t>
                  </w:r>
                </w:p>
              </w:tc>
              <w:tc>
                <w:tcPr>
                  <w:tcW w:w="613" w:type="dxa"/>
                  <w:vAlign w:val="center"/>
                  <w:hideMark/>
                </w:tcPr>
                <w:p w14:paraId="1991035D" w14:textId="2031F600"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047</w:t>
                  </w:r>
                </w:p>
              </w:tc>
              <w:tc>
                <w:tcPr>
                  <w:tcW w:w="716" w:type="dxa"/>
                  <w:vAlign w:val="center"/>
                  <w:hideMark/>
                </w:tcPr>
                <w:p w14:paraId="6B3AD801" w14:textId="05658427"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278</w:t>
                  </w:r>
                </w:p>
              </w:tc>
            </w:tr>
            <w:tr w:rsidR="00B022E7" w:rsidRPr="005277DC" w14:paraId="764D368D" w14:textId="77777777" w:rsidTr="00B022E7">
              <w:trPr>
                <w:jc w:val="center"/>
              </w:trPr>
              <w:tc>
                <w:tcPr>
                  <w:tcW w:w="2386" w:type="dxa"/>
                  <w:hideMark/>
                </w:tcPr>
                <w:p w14:paraId="2CA37926" w14:textId="1B741251" w:rsidR="00B022E7" w:rsidRPr="00B022E7" w:rsidRDefault="00B022E7" w:rsidP="00B022E7">
                  <w:pPr>
                    <w:keepNext/>
                    <w:spacing w:line="240" w:lineRule="auto"/>
                    <w:ind w:firstLine="0"/>
                    <w:jc w:val="left"/>
                    <w:rPr>
                      <w:rFonts w:asciiTheme="minorHAnsi" w:eastAsia="Times New Roman" w:hAnsiTheme="minorHAnsi" w:cs="Times New Roman"/>
                      <w:sz w:val="22"/>
                    </w:rPr>
                  </w:pPr>
                  <w:r w:rsidRPr="00B022E7">
                    <w:rPr>
                      <w:rFonts w:asciiTheme="minorHAnsi" w:hAnsiTheme="minorHAnsi"/>
                      <w:sz w:val="22"/>
                    </w:rPr>
                    <w:t>Ostatní</w:t>
                  </w:r>
                </w:p>
              </w:tc>
              <w:tc>
                <w:tcPr>
                  <w:tcW w:w="803" w:type="dxa"/>
                  <w:vAlign w:val="center"/>
                  <w:hideMark/>
                </w:tcPr>
                <w:p w14:paraId="166B7748" w14:textId="5A84C771"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339</w:t>
                  </w:r>
                </w:p>
              </w:tc>
              <w:tc>
                <w:tcPr>
                  <w:tcW w:w="946" w:type="dxa"/>
                  <w:vAlign w:val="center"/>
                  <w:hideMark/>
                </w:tcPr>
                <w:p w14:paraId="33CBBBC8" w14:textId="76627AE3"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076</w:t>
                  </w:r>
                </w:p>
              </w:tc>
              <w:tc>
                <w:tcPr>
                  <w:tcW w:w="670" w:type="dxa"/>
                  <w:vAlign w:val="center"/>
                  <w:hideMark/>
                </w:tcPr>
                <w:p w14:paraId="29EFAB18" w14:textId="24B21ECD"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-4</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452</w:t>
                  </w:r>
                </w:p>
              </w:tc>
              <w:tc>
                <w:tcPr>
                  <w:tcW w:w="679" w:type="dxa"/>
                  <w:vAlign w:val="center"/>
                  <w:hideMark/>
                </w:tcPr>
                <w:p w14:paraId="6A837D7A" w14:textId="1DCA4999"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000</w:t>
                  </w:r>
                </w:p>
              </w:tc>
              <w:tc>
                <w:tcPr>
                  <w:tcW w:w="803" w:type="dxa"/>
                  <w:vAlign w:val="center"/>
                  <w:hideMark/>
                </w:tcPr>
                <w:p w14:paraId="51718F48" w14:textId="76A41C54"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713</w:t>
                  </w:r>
                </w:p>
              </w:tc>
              <w:tc>
                <w:tcPr>
                  <w:tcW w:w="613" w:type="dxa"/>
                  <w:vAlign w:val="center"/>
                  <w:hideMark/>
                </w:tcPr>
                <w:p w14:paraId="0C928E75" w14:textId="73C7D861"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615</w:t>
                  </w:r>
                </w:p>
              </w:tc>
              <w:tc>
                <w:tcPr>
                  <w:tcW w:w="716" w:type="dxa"/>
                  <w:vAlign w:val="center"/>
                  <w:hideMark/>
                </w:tcPr>
                <w:p w14:paraId="6D6FD50D" w14:textId="24E93CF8"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828</w:t>
                  </w:r>
                </w:p>
              </w:tc>
            </w:tr>
            <w:tr w:rsidR="00B022E7" w:rsidRPr="005277DC" w14:paraId="287F7FC3" w14:textId="77777777" w:rsidTr="00B022E7">
              <w:trPr>
                <w:jc w:val="center"/>
              </w:trPr>
              <w:tc>
                <w:tcPr>
                  <w:tcW w:w="2386" w:type="dxa"/>
                  <w:hideMark/>
                </w:tcPr>
                <w:p w14:paraId="0B32AF8B" w14:textId="528A56E3" w:rsidR="00B022E7" w:rsidRPr="00B022E7" w:rsidRDefault="00B022E7" w:rsidP="00B022E7">
                  <w:pPr>
                    <w:keepNext/>
                    <w:spacing w:line="240" w:lineRule="auto"/>
                    <w:ind w:firstLine="0"/>
                    <w:jc w:val="left"/>
                    <w:rPr>
                      <w:rFonts w:asciiTheme="minorHAnsi" w:eastAsia="Times New Roman" w:hAnsiTheme="minorHAnsi" w:cs="Times New Roman"/>
                      <w:sz w:val="22"/>
                    </w:rPr>
                  </w:pPr>
                  <w:r w:rsidRPr="00B022E7">
                    <w:rPr>
                      <w:rFonts w:asciiTheme="minorHAnsi" w:hAnsiTheme="minorHAnsi"/>
                      <w:sz w:val="22"/>
                    </w:rPr>
                    <w:t>Ostatní - blogy</w:t>
                  </w:r>
                </w:p>
              </w:tc>
              <w:tc>
                <w:tcPr>
                  <w:tcW w:w="803" w:type="dxa"/>
                  <w:vAlign w:val="center"/>
                  <w:hideMark/>
                </w:tcPr>
                <w:p w14:paraId="328525C3" w14:textId="56EC9002"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011</w:t>
                  </w:r>
                </w:p>
              </w:tc>
              <w:tc>
                <w:tcPr>
                  <w:tcW w:w="946" w:type="dxa"/>
                  <w:vAlign w:val="center"/>
                  <w:hideMark/>
                </w:tcPr>
                <w:p w14:paraId="39068182" w14:textId="38A8C9B4"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098</w:t>
                  </w:r>
                </w:p>
              </w:tc>
              <w:tc>
                <w:tcPr>
                  <w:tcW w:w="670" w:type="dxa"/>
                  <w:vAlign w:val="center"/>
                  <w:hideMark/>
                </w:tcPr>
                <w:p w14:paraId="49A31FA2" w14:textId="6EA26572"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111</w:t>
                  </w:r>
                </w:p>
              </w:tc>
              <w:tc>
                <w:tcPr>
                  <w:tcW w:w="679" w:type="dxa"/>
                  <w:vAlign w:val="center"/>
                  <w:hideMark/>
                </w:tcPr>
                <w:p w14:paraId="120167AA" w14:textId="048283C7"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912</w:t>
                  </w:r>
                </w:p>
              </w:tc>
              <w:tc>
                <w:tcPr>
                  <w:tcW w:w="803" w:type="dxa"/>
                  <w:vAlign w:val="center"/>
                  <w:hideMark/>
                </w:tcPr>
                <w:p w14:paraId="5AF2A81E" w14:textId="6E0006EA"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989</w:t>
                  </w:r>
                </w:p>
              </w:tc>
              <w:tc>
                <w:tcPr>
                  <w:tcW w:w="613" w:type="dxa"/>
                  <w:vAlign w:val="center"/>
                  <w:hideMark/>
                </w:tcPr>
                <w:p w14:paraId="2A286C0E" w14:textId="776D4FDA"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818</w:t>
                  </w:r>
                </w:p>
              </w:tc>
              <w:tc>
                <w:tcPr>
                  <w:tcW w:w="716" w:type="dxa"/>
                  <w:vAlign w:val="center"/>
                  <w:hideMark/>
                </w:tcPr>
                <w:p w14:paraId="6BC610CD" w14:textId="2886800C"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204</w:t>
                  </w:r>
                </w:p>
              </w:tc>
            </w:tr>
            <w:tr w:rsidR="00B022E7" w:rsidRPr="005277DC" w14:paraId="688DBC93" w14:textId="77777777" w:rsidTr="00B022E7">
              <w:trPr>
                <w:jc w:val="center"/>
              </w:trPr>
              <w:tc>
                <w:tcPr>
                  <w:tcW w:w="2386" w:type="dxa"/>
                  <w:hideMark/>
                </w:tcPr>
                <w:p w14:paraId="3E5515E9" w14:textId="0CE36ED8" w:rsidR="00B022E7" w:rsidRPr="00B022E7" w:rsidRDefault="00B022E7" w:rsidP="00B022E7">
                  <w:pPr>
                    <w:keepNext/>
                    <w:spacing w:line="240" w:lineRule="auto"/>
                    <w:ind w:firstLine="0"/>
                    <w:jc w:val="left"/>
                    <w:rPr>
                      <w:rFonts w:asciiTheme="minorHAnsi" w:eastAsia="Times New Roman" w:hAnsiTheme="minorHAnsi" w:cs="Times New Roman"/>
                      <w:sz w:val="22"/>
                    </w:rPr>
                  </w:pPr>
                  <w:r w:rsidRPr="00B022E7">
                    <w:rPr>
                      <w:rFonts w:asciiTheme="minorHAnsi" w:hAnsiTheme="minorHAnsi"/>
                      <w:sz w:val="22"/>
                    </w:rPr>
                    <w:t>Ostatní - bestselery</w:t>
                  </w:r>
                </w:p>
              </w:tc>
              <w:tc>
                <w:tcPr>
                  <w:tcW w:w="803" w:type="dxa"/>
                  <w:vAlign w:val="center"/>
                  <w:hideMark/>
                </w:tcPr>
                <w:p w14:paraId="61365CB7" w14:textId="35C71682"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2</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453</w:t>
                  </w:r>
                </w:p>
              </w:tc>
              <w:tc>
                <w:tcPr>
                  <w:tcW w:w="946" w:type="dxa"/>
                  <w:vAlign w:val="center"/>
                  <w:hideMark/>
                </w:tcPr>
                <w:p w14:paraId="7D8FC6D9" w14:textId="5FAFF3B8"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357</w:t>
                  </w:r>
                </w:p>
              </w:tc>
              <w:tc>
                <w:tcPr>
                  <w:tcW w:w="670" w:type="dxa"/>
                  <w:vAlign w:val="center"/>
                  <w:hideMark/>
                </w:tcPr>
                <w:p w14:paraId="0FCC6207" w14:textId="4F621B9D"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6</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872</w:t>
                  </w:r>
                </w:p>
              </w:tc>
              <w:tc>
                <w:tcPr>
                  <w:tcW w:w="679" w:type="dxa"/>
                  <w:vAlign w:val="center"/>
                  <w:hideMark/>
                </w:tcPr>
                <w:p w14:paraId="2ED96F4D" w14:textId="45B5295F"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000</w:t>
                  </w:r>
                </w:p>
              </w:tc>
              <w:tc>
                <w:tcPr>
                  <w:tcW w:w="803" w:type="dxa"/>
                  <w:vAlign w:val="center"/>
                  <w:hideMark/>
                </w:tcPr>
                <w:p w14:paraId="668F9EC2" w14:textId="0D5DF5DA"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617</w:t>
                  </w:r>
                </w:p>
              </w:tc>
              <w:tc>
                <w:tcPr>
                  <w:tcW w:w="613" w:type="dxa"/>
                  <w:vAlign w:val="center"/>
                  <w:hideMark/>
                </w:tcPr>
                <w:p w14:paraId="2ECA64C0" w14:textId="608960A5"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6</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192</w:t>
                  </w:r>
                </w:p>
              </w:tc>
              <w:tc>
                <w:tcPr>
                  <w:tcW w:w="716" w:type="dxa"/>
                  <w:vAlign w:val="center"/>
                  <w:hideMark/>
                </w:tcPr>
                <w:p w14:paraId="2587DF49" w14:textId="632EB386"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25</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552</w:t>
                  </w:r>
                </w:p>
              </w:tc>
            </w:tr>
            <w:tr w:rsidR="00B022E7" w:rsidRPr="005277DC" w14:paraId="60EB502E" w14:textId="77777777" w:rsidTr="00B022E7">
              <w:trPr>
                <w:jc w:val="center"/>
              </w:trPr>
              <w:tc>
                <w:tcPr>
                  <w:tcW w:w="2386" w:type="dxa"/>
                  <w:hideMark/>
                </w:tcPr>
                <w:p w14:paraId="20883111" w14:textId="447039FE" w:rsidR="00B022E7" w:rsidRPr="00B022E7" w:rsidRDefault="00B022E7" w:rsidP="00B022E7">
                  <w:pPr>
                    <w:keepNext/>
                    <w:spacing w:line="240" w:lineRule="auto"/>
                    <w:ind w:firstLine="0"/>
                    <w:jc w:val="left"/>
                    <w:rPr>
                      <w:rFonts w:asciiTheme="minorHAnsi" w:eastAsia="Times New Roman" w:hAnsiTheme="minorHAnsi" w:cs="Times New Roman"/>
                      <w:sz w:val="22"/>
                    </w:rPr>
                  </w:pPr>
                  <w:r w:rsidRPr="00B022E7">
                    <w:rPr>
                      <w:rFonts w:asciiTheme="minorHAnsi" w:hAnsiTheme="minorHAnsi"/>
                      <w:sz w:val="22"/>
                    </w:rPr>
                    <w:t>Ostatní - vládní jednání</w:t>
                  </w:r>
                </w:p>
              </w:tc>
              <w:tc>
                <w:tcPr>
                  <w:tcW w:w="803" w:type="dxa"/>
                  <w:vAlign w:val="center"/>
                  <w:hideMark/>
                </w:tcPr>
                <w:p w14:paraId="23CF0E9A" w14:textId="44EB6B0F"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822</w:t>
                  </w:r>
                </w:p>
              </w:tc>
              <w:tc>
                <w:tcPr>
                  <w:tcW w:w="946" w:type="dxa"/>
                  <w:vAlign w:val="center"/>
                  <w:hideMark/>
                </w:tcPr>
                <w:p w14:paraId="596FF0FA" w14:textId="6E3C93C0"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212</w:t>
                  </w:r>
                </w:p>
              </w:tc>
              <w:tc>
                <w:tcPr>
                  <w:tcW w:w="670" w:type="dxa"/>
                  <w:vAlign w:val="center"/>
                  <w:hideMark/>
                </w:tcPr>
                <w:p w14:paraId="367C8827" w14:textId="1BFAE91F"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3</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883</w:t>
                  </w:r>
                </w:p>
              </w:tc>
              <w:tc>
                <w:tcPr>
                  <w:tcW w:w="679" w:type="dxa"/>
                  <w:vAlign w:val="center"/>
                  <w:hideMark/>
                </w:tcPr>
                <w:p w14:paraId="62801822" w14:textId="13AE0941"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000</w:t>
                  </w:r>
                </w:p>
              </w:tc>
              <w:tc>
                <w:tcPr>
                  <w:tcW w:w="803" w:type="dxa"/>
                  <w:vAlign w:val="center"/>
                  <w:hideMark/>
                </w:tcPr>
                <w:p w14:paraId="672AB3A1" w14:textId="6E6140DC"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2</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274</w:t>
                  </w:r>
                </w:p>
              </w:tc>
              <w:tc>
                <w:tcPr>
                  <w:tcW w:w="613" w:type="dxa"/>
                  <w:vAlign w:val="center"/>
                  <w:hideMark/>
                </w:tcPr>
                <w:p w14:paraId="6C3A1B2D" w14:textId="044F9407"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537</w:t>
                  </w:r>
                </w:p>
              </w:tc>
              <w:tc>
                <w:tcPr>
                  <w:tcW w:w="716" w:type="dxa"/>
                  <w:vAlign w:val="center"/>
                  <w:hideMark/>
                </w:tcPr>
                <w:p w14:paraId="0C317893" w14:textId="09459A3E"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3</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536</w:t>
                  </w:r>
                </w:p>
              </w:tc>
            </w:tr>
            <w:tr w:rsidR="00B022E7" w:rsidRPr="005277DC" w14:paraId="075E7ACC" w14:textId="77777777" w:rsidTr="00B022E7">
              <w:trPr>
                <w:jc w:val="center"/>
              </w:trPr>
              <w:tc>
                <w:tcPr>
                  <w:tcW w:w="2386" w:type="dxa"/>
                  <w:hideMark/>
                </w:tcPr>
                <w:p w14:paraId="3E6FD811" w14:textId="25AC6DAB" w:rsidR="00B022E7" w:rsidRPr="0087774A" w:rsidRDefault="00B022E7" w:rsidP="00B022E7">
                  <w:pPr>
                    <w:keepNext/>
                    <w:spacing w:line="240" w:lineRule="auto"/>
                    <w:ind w:firstLine="0"/>
                    <w:jc w:val="left"/>
                    <w:rPr>
                      <w:rFonts w:asciiTheme="minorHAnsi" w:eastAsia="Times New Roman" w:hAnsiTheme="minorHAnsi" w:cs="Times New Roman"/>
                      <w:sz w:val="18"/>
                      <w:szCs w:val="18"/>
                    </w:rPr>
                  </w:pPr>
                  <w:r w:rsidRPr="0087774A">
                    <w:rPr>
                      <w:rFonts w:asciiTheme="minorHAnsi" w:hAnsiTheme="minorHAnsi"/>
                      <w:sz w:val="18"/>
                      <w:szCs w:val="18"/>
                    </w:rPr>
                    <w:t>Ostatní - informační bulletiny</w:t>
                  </w:r>
                </w:p>
              </w:tc>
              <w:tc>
                <w:tcPr>
                  <w:tcW w:w="803" w:type="dxa"/>
                  <w:vAlign w:val="center"/>
                  <w:hideMark/>
                </w:tcPr>
                <w:p w14:paraId="63C0D878" w14:textId="440AD936"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804</w:t>
                  </w:r>
                </w:p>
              </w:tc>
              <w:tc>
                <w:tcPr>
                  <w:tcW w:w="946" w:type="dxa"/>
                  <w:vAlign w:val="center"/>
                  <w:hideMark/>
                </w:tcPr>
                <w:p w14:paraId="783D5AB1" w14:textId="6092E6B2"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325</w:t>
                  </w:r>
                </w:p>
              </w:tc>
              <w:tc>
                <w:tcPr>
                  <w:tcW w:w="670" w:type="dxa"/>
                  <w:vAlign w:val="center"/>
                  <w:hideMark/>
                </w:tcPr>
                <w:p w14:paraId="64CD361A" w14:textId="397E53C6"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2</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474</w:t>
                  </w:r>
                </w:p>
              </w:tc>
              <w:tc>
                <w:tcPr>
                  <w:tcW w:w="679" w:type="dxa"/>
                  <w:vAlign w:val="center"/>
                  <w:hideMark/>
                </w:tcPr>
                <w:p w14:paraId="2FA182C0" w14:textId="1E4F4D8D"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013</w:t>
                  </w:r>
                </w:p>
              </w:tc>
              <w:tc>
                <w:tcPr>
                  <w:tcW w:w="803" w:type="dxa"/>
                  <w:vAlign w:val="center"/>
                  <w:hideMark/>
                </w:tcPr>
                <w:p w14:paraId="6221CA87" w14:textId="48874C5F"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2</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235</w:t>
                  </w:r>
                </w:p>
              </w:tc>
              <w:tc>
                <w:tcPr>
                  <w:tcW w:w="613" w:type="dxa"/>
                  <w:vAlign w:val="center"/>
                  <w:hideMark/>
                </w:tcPr>
                <w:p w14:paraId="45638186" w14:textId="00361345"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248</w:t>
                  </w:r>
                </w:p>
              </w:tc>
              <w:tc>
                <w:tcPr>
                  <w:tcW w:w="716" w:type="dxa"/>
                  <w:vAlign w:val="center"/>
                  <w:hideMark/>
                </w:tcPr>
                <w:p w14:paraId="156CBB69" w14:textId="2360DD30"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4</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522</w:t>
                  </w:r>
                </w:p>
              </w:tc>
            </w:tr>
            <w:tr w:rsidR="00B022E7" w:rsidRPr="005277DC" w14:paraId="735D92BB" w14:textId="77777777" w:rsidTr="00B022E7">
              <w:trPr>
                <w:jc w:val="center"/>
              </w:trPr>
              <w:tc>
                <w:tcPr>
                  <w:tcW w:w="2386" w:type="dxa"/>
                  <w:hideMark/>
                </w:tcPr>
                <w:p w14:paraId="4E999ACE" w14:textId="61B45C45" w:rsidR="00B022E7" w:rsidRPr="00B022E7" w:rsidRDefault="00B022E7" w:rsidP="00B022E7">
                  <w:pPr>
                    <w:keepNext/>
                    <w:spacing w:line="240" w:lineRule="auto"/>
                    <w:ind w:firstLine="0"/>
                    <w:jc w:val="left"/>
                    <w:rPr>
                      <w:rFonts w:asciiTheme="minorHAnsi" w:eastAsia="Times New Roman" w:hAnsiTheme="minorHAnsi" w:cs="Times New Roman"/>
                      <w:sz w:val="22"/>
                    </w:rPr>
                  </w:pPr>
                  <w:r w:rsidRPr="00B022E7">
                    <w:rPr>
                      <w:rFonts w:asciiTheme="minorHAnsi" w:hAnsiTheme="minorHAnsi"/>
                      <w:sz w:val="22"/>
                    </w:rPr>
                    <w:t>Ostatní - učebnice</w:t>
                  </w:r>
                </w:p>
              </w:tc>
              <w:tc>
                <w:tcPr>
                  <w:tcW w:w="803" w:type="dxa"/>
                  <w:vAlign w:val="center"/>
                  <w:hideMark/>
                </w:tcPr>
                <w:p w14:paraId="75D4C19A" w14:textId="130DB4F5"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2</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554</w:t>
                  </w:r>
                </w:p>
              </w:tc>
              <w:tc>
                <w:tcPr>
                  <w:tcW w:w="946" w:type="dxa"/>
                  <w:vAlign w:val="center"/>
                  <w:hideMark/>
                </w:tcPr>
                <w:p w14:paraId="7E1418F1" w14:textId="33C53BB7"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450</w:t>
                  </w:r>
                </w:p>
              </w:tc>
              <w:tc>
                <w:tcPr>
                  <w:tcW w:w="670" w:type="dxa"/>
                  <w:vAlign w:val="center"/>
                  <w:hideMark/>
                </w:tcPr>
                <w:p w14:paraId="640DDA3F" w14:textId="39B9E5C6"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5</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670</w:t>
                  </w:r>
                </w:p>
              </w:tc>
              <w:tc>
                <w:tcPr>
                  <w:tcW w:w="679" w:type="dxa"/>
                  <w:vAlign w:val="center"/>
                  <w:hideMark/>
                </w:tcPr>
                <w:p w14:paraId="027A971B" w14:textId="33C8479B"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000</w:t>
                  </w:r>
                </w:p>
              </w:tc>
              <w:tc>
                <w:tcPr>
                  <w:tcW w:w="803" w:type="dxa"/>
                  <w:vAlign w:val="center"/>
                  <w:hideMark/>
                </w:tcPr>
                <w:p w14:paraId="34038FB8" w14:textId="4B7538A8"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12</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852</w:t>
                  </w:r>
                </w:p>
              </w:tc>
              <w:tc>
                <w:tcPr>
                  <w:tcW w:w="613" w:type="dxa"/>
                  <w:vAlign w:val="center"/>
                  <w:hideMark/>
                </w:tcPr>
                <w:p w14:paraId="07AD666F" w14:textId="2C5AB8AC"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5</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932</w:t>
                  </w:r>
                </w:p>
              </w:tc>
              <w:tc>
                <w:tcPr>
                  <w:tcW w:w="716" w:type="dxa"/>
                  <w:vAlign w:val="center"/>
                  <w:hideMark/>
                </w:tcPr>
                <w:p w14:paraId="223F599D" w14:textId="44A40B7C"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36</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008</w:t>
                  </w:r>
                </w:p>
              </w:tc>
            </w:tr>
            <w:tr w:rsidR="00B022E7" w:rsidRPr="005277DC" w14:paraId="5F77D569" w14:textId="77777777" w:rsidTr="00B022E7">
              <w:trPr>
                <w:jc w:val="center"/>
              </w:trPr>
              <w:tc>
                <w:tcPr>
                  <w:tcW w:w="2386" w:type="dxa"/>
                  <w:hideMark/>
                </w:tcPr>
                <w:p w14:paraId="67D300B3" w14:textId="5BB60A1A" w:rsidR="00B022E7" w:rsidRPr="00B022E7" w:rsidRDefault="00804DA0" w:rsidP="00B022E7">
                  <w:pPr>
                    <w:keepNext/>
                    <w:spacing w:line="240" w:lineRule="auto"/>
                    <w:ind w:firstLine="0"/>
                    <w:jc w:val="left"/>
                    <w:rPr>
                      <w:rFonts w:asciiTheme="minorHAnsi" w:eastAsia="Times New Roman" w:hAnsiTheme="minorHAnsi" w:cs="Times New Roman"/>
                      <w:sz w:val="22"/>
                    </w:rPr>
                  </w:pPr>
                  <w:r>
                    <w:rPr>
                      <w:rFonts w:asciiTheme="minorHAnsi" w:hAnsiTheme="minorHAnsi"/>
                      <w:sz w:val="22"/>
                    </w:rPr>
                    <w:t>Ostatní - zákoníky</w:t>
                  </w:r>
                </w:p>
              </w:tc>
              <w:tc>
                <w:tcPr>
                  <w:tcW w:w="803" w:type="dxa"/>
                  <w:vAlign w:val="center"/>
                  <w:hideMark/>
                </w:tcPr>
                <w:p w14:paraId="24CEBB1B" w14:textId="57381F5C"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2</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307</w:t>
                  </w:r>
                </w:p>
              </w:tc>
              <w:tc>
                <w:tcPr>
                  <w:tcW w:w="946" w:type="dxa"/>
                  <w:vAlign w:val="center"/>
                  <w:hideMark/>
                </w:tcPr>
                <w:p w14:paraId="29ECB9C0" w14:textId="723CF1C5"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193</w:t>
                  </w:r>
                </w:p>
              </w:tc>
              <w:tc>
                <w:tcPr>
                  <w:tcW w:w="670" w:type="dxa"/>
                  <w:vAlign w:val="center"/>
                  <w:hideMark/>
                </w:tcPr>
                <w:p w14:paraId="799EC467" w14:textId="44DF46D1"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930</w:t>
                  </w:r>
                </w:p>
              </w:tc>
              <w:tc>
                <w:tcPr>
                  <w:tcW w:w="679" w:type="dxa"/>
                  <w:vAlign w:val="center"/>
                  <w:hideMark/>
                </w:tcPr>
                <w:p w14:paraId="5AE19276" w14:textId="2E6E108A"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000</w:t>
                  </w:r>
                </w:p>
              </w:tc>
              <w:tc>
                <w:tcPr>
                  <w:tcW w:w="803" w:type="dxa"/>
                  <w:vAlign w:val="center"/>
                  <w:hideMark/>
                </w:tcPr>
                <w:p w14:paraId="1ABC9A34" w14:textId="12690DE3"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040</w:t>
                  </w:r>
                </w:p>
              </w:tc>
              <w:tc>
                <w:tcPr>
                  <w:tcW w:w="613" w:type="dxa"/>
                  <w:vAlign w:val="center"/>
                  <w:hideMark/>
                </w:tcPr>
                <w:p w14:paraId="50746E7E" w14:textId="23335F06"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7</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015</w:t>
                  </w:r>
                </w:p>
              </w:tc>
              <w:tc>
                <w:tcPr>
                  <w:tcW w:w="716" w:type="dxa"/>
                  <w:vAlign w:val="center"/>
                  <w:hideMark/>
                </w:tcPr>
                <w:p w14:paraId="1DBFBB0E" w14:textId="66A6BACB"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15</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012</w:t>
                  </w:r>
                </w:p>
              </w:tc>
            </w:tr>
            <w:tr w:rsidR="00B022E7" w:rsidRPr="005277DC" w14:paraId="0158FA02" w14:textId="77777777" w:rsidTr="00B022E7">
              <w:trPr>
                <w:jc w:val="center"/>
              </w:trPr>
              <w:tc>
                <w:tcPr>
                  <w:tcW w:w="2386" w:type="dxa"/>
                  <w:hideMark/>
                </w:tcPr>
                <w:p w14:paraId="1343085F" w14:textId="7229A215" w:rsidR="00B022E7" w:rsidRPr="00B022E7" w:rsidRDefault="00B022E7" w:rsidP="00B022E7">
                  <w:pPr>
                    <w:keepNext/>
                    <w:spacing w:line="240" w:lineRule="auto"/>
                    <w:ind w:firstLine="0"/>
                    <w:jc w:val="left"/>
                    <w:rPr>
                      <w:rFonts w:asciiTheme="minorHAnsi" w:eastAsia="Times New Roman" w:hAnsiTheme="minorHAnsi" w:cs="Times New Roman"/>
                      <w:sz w:val="22"/>
                    </w:rPr>
                  </w:pPr>
                  <w:r w:rsidRPr="00B022E7">
                    <w:rPr>
                      <w:rFonts w:asciiTheme="minorHAnsi" w:hAnsiTheme="minorHAnsi"/>
                      <w:sz w:val="22"/>
                    </w:rPr>
                    <w:t>Ostatní - vládní zprávy</w:t>
                  </w:r>
                </w:p>
              </w:tc>
              <w:tc>
                <w:tcPr>
                  <w:tcW w:w="803" w:type="dxa"/>
                  <w:vAlign w:val="center"/>
                  <w:hideMark/>
                </w:tcPr>
                <w:p w14:paraId="0DA4D538" w14:textId="60C893D2"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330</w:t>
                  </w:r>
                </w:p>
              </w:tc>
              <w:tc>
                <w:tcPr>
                  <w:tcW w:w="946" w:type="dxa"/>
                  <w:vAlign w:val="center"/>
                  <w:hideMark/>
                </w:tcPr>
                <w:p w14:paraId="07947B5F" w14:textId="4F510207"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076</w:t>
                  </w:r>
                </w:p>
              </w:tc>
              <w:tc>
                <w:tcPr>
                  <w:tcW w:w="670" w:type="dxa"/>
                  <w:vAlign w:val="center"/>
                  <w:hideMark/>
                </w:tcPr>
                <w:p w14:paraId="664D9D90" w14:textId="137774BB"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-4</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336</w:t>
                  </w:r>
                </w:p>
              </w:tc>
              <w:tc>
                <w:tcPr>
                  <w:tcW w:w="679" w:type="dxa"/>
                  <w:vAlign w:val="center"/>
                  <w:hideMark/>
                </w:tcPr>
                <w:p w14:paraId="4AA2840A" w14:textId="0D13310F"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000</w:t>
                  </w:r>
                </w:p>
              </w:tc>
              <w:tc>
                <w:tcPr>
                  <w:tcW w:w="803" w:type="dxa"/>
                  <w:vAlign w:val="center"/>
                  <w:hideMark/>
                </w:tcPr>
                <w:p w14:paraId="57B04E98" w14:textId="239B11DC"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719</w:t>
                  </w:r>
                </w:p>
              </w:tc>
              <w:tc>
                <w:tcPr>
                  <w:tcW w:w="613" w:type="dxa"/>
                  <w:vAlign w:val="center"/>
                  <w:hideMark/>
                </w:tcPr>
                <w:p w14:paraId="21C40AB1" w14:textId="66255BE4"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620</w:t>
                  </w:r>
                </w:p>
              </w:tc>
              <w:tc>
                <w:tcPr>
                  <w:tcW w:w="716" w:type="dxa"/>
                  <w:vAlign w:val="center"/>
                  <w:hideMark/>
                </w:tcPr>
                <w:p w14:paraId="78DAEA3C" w14:textId="24DFFB91"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836</w:t>
                  </w:r>
                </w:p>
              </w:tc>
            </w:tr>
            <w:tr w:rsidR="00B022E7" w:rsidRPr="005277DC" w14:paraId="21A72C13" w14:textId="77777777" w:rsidTr="00B022E7">
              <w:trPr>
                <w:jc w:val="center"/>
              </w:trPr>
              <w:tc>
                <w:tcPr>
                  <w:tcW w:w="2386" w:type="dxa"/>
                  <w:hideMark/>
                </w:tcPr>
                <w:p w14:paraId="4D7BDC18" w14:textId="129BCE0D" w:rsidR="00B022E7" w:rsidRPr="00B022E7" w:rsidRDefault="00B022E7" w:rsidP="00B022E7">
                  <w:pPr>
                    <w:keepNext/>
                    <w:spacing w:line="240" w:lineRule="auto"/>
                    <w:ind w:firstLine="0"/>
                    <w:jc w:val="left"/>
                    <w:rPr>
                      <w:rFonts w:asciiTheme="minorHAnsi" w:eastAsia="Times New Roman" w:hAnsiTheme="minorHAnsi" w:cs="Times New Roman"/>
                      <w:sz w:val="22"/>
                    </w:rPr>
                  </w:pPr>
                  <w:r w:rsidRPr="00B022E7">
                    <w:rPr>
                      <w:rFonts w:asciiTheme="minorHAnsi" w:hAnsiTheme="minorHAnsi"/>
                      <w:sz w:val="22"/>
                    </w:rPr>
                    <w:t>Ostatní - Čiebukuro</w:t>
                  </w:r>
                </w:p>
              </w:tc>
              <w:tc>
                <w:tcPr>
                  <w:tcW w:w="803" w:type="dxa"/>
                  <w:vAlign w:val="center"/>
                  <w:hideMark/>
                </w:tcPr>
                <w:p w14:paraId="23B7557F" w14:textId="2C2A03C4"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124</w:t>
                  </w:r>
                </w:p>
              </w:tc>
              <w:tc>
                <w:tcPr>
                  <w:tcW w:w="946" w:type="dxa"/>
                  <w:vAlign w:val="center"/>
                  <w:hideMark/>
                </w:tcPr>
                <w:p w14:paraId="4B57A0BC" w14:textId="2B67CF2C"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467</w:t>
                  </w:r>
                </w:p>
              </w:tc>
              <w:tc>
                <w:tcPr>
                  <w:tcW w:w="670" w:type="dxa"/>
                  <w:vAlign w:val="center"/>
                  <w:hideMark/>
                </w:tcPr>
                <w:p w14:paraId="7BBE1D97" w14:textId="78D9380D"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265</w:t>
                  </w:r>
                </w:p>
              </w:tc>
              <w:tc>
                <w:tcPr>
                  <w:tcW w:w="679" w:type="dxa"/>
                  <w:vAlign w:val="center"/>
                  <w:hideMark/>
                </w:tcPr>
                <w:p w14:paraId="47822D21" w14:textId="302FFAB1"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791</w:t>
                  </w:r>
                </w:p>
              </w:tc>
              <w:tc>
                <w:tcPr>
                  <w:tcW w:w="803" w:type="dxa"/>
                  <w:vAlign w:val="center"/>
                  <w:hideMark/>
                </w:tcPr>
                <w:p w14:paraId="680A2DD1" w14:textId="152E5FA9"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1</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132</w:t>
                  </w:r>
                </w:p>
              </w:tc>
              <w:tc>
                <w:tcPr>
                  <w:tcW w:w="613" w:type="dxa"/>
                  <w:vAlign w:val="center"/>
                  <w:hideMark/>
                </w:tcPr>
                <w:p w14:paraId="698C9B2B" w14:textId="5F3C75D7"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0</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500</w:t>
                  </w:r>
                </w:p>
              </w:tc>
              <w:tc>
                <w:tcPr>
                  <w:tcW w:w="716" w:type="dxa"/>
                  <w:vAlign w:val="center"/>
                  <w:hideMark/>
                </w:tcPr>
                <w:p w14:paraId="52299E35" w14:textId="623959B1" w:rsidR="00B022E7" w:rsidRPr="00A358EA" w:rsidRDefault="00B022E7" w:rsidP="00B022E7">
                  <w:pPr>
                    <w:keepNext/>
                    <w:spacing w:line="240" w:lineRule="auto"/>
                    <w:ind w:firstLine="0"/>
                    <w:jc w:val="center"/>
                    <w:rPr>
                      <w:rFonts w:asciiTheme="minorHAnsi" w:eastAsia="Times New Roman" w:hAnsiTheme="minorHAnsi" w:cs="Times New Roman"/>
                      <w:sz w:val="22"/>
                    </w:rPr>
                  </w:pPr>
                  <w:r w:rsidRPr="00A358EA">
                    <w:rPr>
                      <w:rFonts w:asciiTheme="minorHAnsi" w:eastAsia="Times New Roman" w:hAnsiTheme="minorHAnsi" w:cs="Times New Roman"/>
                      <w:sz w:val="22"/>
                    </w:rPr>
                    <w:t>3</w:t>
                  </w:r>
                  <w:r w:rsidR="001A3BFF">
                    <w:rPr>
                      <w:rFonts w:asciiTheme="minorHAnsi" w:eastAsia="Times New Roman" w:hAnsiTheme="minorHAnsi" w:cs="Times New Roman"/>
                      <w:sz w:val="22"/>
                    </w:rPr>
                    <w:t>,</w:t>
                  </w:r>
                  <w:r w:rsidRPr="00A358EA">
                    <w:rPr>
                      <w:rFonts w:asciiTheme="minorHAnsi" w:eastAsia="Times New Roman" w:hAnsiTheme="minorHAnsi" w:cs="Times New Roman"/>
                      <w:sz w:val="22"/>
                    </w:rPr>
                    <w:t>248</w:t>
                  </w:r>
                </w:p>
              </w:tc>
            </w:tr>
          </w:tbl>
          <w:p w14:paraId="2552A00F" w14:textId="77777777" w:rsidR="005277DC" w:rsidRPr="005277DC" w:rsidRDefault="005277DC" w:rsidP="003D6658">
            <w:pPr>
              <w:keepNext/>
              <w:spacing w:after="160" w:line="259" w:lineRule="auto"/>
              <w:ind w:firstLine="0"/>
              <w:jc w:val="left"/>
              <w:rPr>
                <w:rFonts w:asciiTheme="minorHAnsi" w:hAnsiTheme="minorHAnsi"/>
                <w:sz w:val="22"/>
              </w:rPr>
            </w:pPr>
          </w:p>
        </w:tc>
      </w:tr>
    </w:tbl>
    <w:p w14:paraId="569AF37C" w14:textId="64039A31" w:rsidR="00146E95" w:rsidRDefault="003D6658" w:rsidP="003D6658">
      <w:pPr>
        <w:pStyle w:val="Titulek"/>
      </w:pPr>
      <w:r>
        <w:t xml:space="preserve">Tabulka </w:t>
      </w:r>
      <w:r w:rsidR="00E52248">
        <w:rPr>
          <w:noProof/>
        </w:rPr>
        <w:fldChar w:fldCharType="begin"/>
      </w:r>
      <w:r w:rsidR="00E52248">
        <w:rPr>
          <w:noProof/>
        </w:rPr>
        <w:instrText xml:space="preserve"> SEQ Tabulka \* ARABIC </w:instrText>
      </w:r>
      <w:r w:rsidR="00E52248">
        <w:rPr>
          <w:noProof/>
        </w:rPr>
        <w:fldChar w:fldCharType="separate"/>
      </w:r>
      <w:r w:rsidR="0061476C">
        <w:rPr>
          <w:noProof/>
        </w:rPr>
        <w:t>4</w:t>
      </w:r>
      <w:r w:rsidR="00E52248">
        <w:rPr>
          <w:noProof/>
        </w:rPr>
        <w:fldChar w:fldCharType="end"/>
      </w:r>
      <w:r>
        <w:t>: Logistická regresní analýza slova uči (Brezina 2018)</w:t>
      </w:r>
    </w:p>
    <w:p w14:paraId="117BADA6" w14:textId="77777777" w:rsidR="003D6658" w:rsidRDefault="005A5768" w:rsidP="005A5768">
      <w:pPr>
        <w:pStyle w:val="Bezmezer"/>
      </w:pPr>
      <w:r>
        <w:t xml:space="preserve">Dalším údajem je </w:t>
      </w:r>
      <w:r w:rsidRPr="00B731E9">
        <w:rPr>
          <w:i/>
        </w:rPr>
        <w:t>C-index</w:t>
      </w:r>
      <w:r>
        <w:t xml:space="preserve">. </w:t>
      </w:r>
      <w:r w:rsidR="004A3A51">
        <w:t>Tato hodnota udává klasifikační</w:t>
      </w:r>
      <w:r w:rsidR="009D1923">
        <w:t xml:space="preserve"> </w:t>
      </w:r>
      <w:r w:rsidR="004A3A51">
        <w:t>nebo též prediktivní</w:t>
      </w:r>
      <w:r w:rsidR="009D1923">
        <w:t xml:space="preserve"> </w:t>
      </w:r>
      <w:r w:rsidR="004A3A51">
        <w:t>sílu modelu. (Brezina 2018)</w:t>
      </w:r>
      <w:r w:rsidR="001948E6">
        <w:t xml:space="preserve"> Součástí dat v druhé části tabulky </w:t>
      </w:r>
      <w:r w:rsidR="001948E6">
        <w:lastRenderedPageBreak/>
        <w:t xml:space="preserve">je šance, že výskyt uči </w:t>
      </w:r>
      <w:r w:rsidR="00143246">
        <w:t>v různých</w:t>
      </w:r>
      <w:r w:rsidR="001948E6">
        <w:t xml:space="preserve"> subkorpus</w:t>
      </w:r>
      <w:r w:rsidR="00143246">
        <w:t>ech</w:t>
      </w:r>
      <w:r w:rsidR="001948E6">
        <w:t xml:space="preserve"> bude psán kanou. </w:t>
      </w:r>
      <w:r w:rsidR="001948E6" w:rsidRPr="00B731E9">
        <w:rPr>
          <w:i/>
        </w:rPr>
        <w:t xml:space="preserve">C-index </w:t>
      </w:r>
      <w:r w:rsidR="001948E6">
        <w:t>je pravděpodobnost, že náhodně vybranému záznamu bude na základě této šance přiřazen správný způsob zápisu.</w:t>
      </w:r>
      <w:r w:rsidR="004F41A8">
        <w:t xml:space="preserve"> (Fawcett, 2006</w:t>
      </w:r>
      <w:r w:rsidR="00F256A5">
        <w:t>, s. 869</w:t>
      </w:r>
      <w:r w:rsidR="004F41A8">
        <w:t>)</w:t>
      </w:r>
      <w:r w:rsidR="004F41A8">
        <w:rPr>
          <w:rStyle w:val="Znakapoznpodarou"/>
        </w:rPr>
        <w:footnoteReference w:id="2"/>
      </w:r>
      <w:r w:rsidR="00F256A5">
        <w:t xml:space="preserve"> Výchozí hodnotou je 0,5 a perfektní model </w:t>
      </w:r>
      <w:r w:rsidR="000377CF">
        <w:t>by měl</w:t>
      </w:r>
      <w:r w:rsidR="00F256A5">
        <w:t xml:space="preserve"> C-index roven 1. (Fawcett, 2006, s. 869) Z toho plyne, že model uvedený v </w:t>
      </w:r>
      <w:r w:rsidR="00F256A5" w:rsidRPr="00B731E9">
        <w:rPr>
          <w:i/>
        </w:rPr>
        <w:t>Tabulce 4</w:t>
      </w:r>
      <w:r w:rsidR="00F256A5">
        <w:t xml:space="preserve"> je sice statisticky významně lepší, než by byl model bez vysvětlující proměnné, ale ne o moc. </w:t>
      </w:r>
      <w:r w:rsidR="008B5FD0">
        <w:t>Za přijatelnou hodnotu Lancaster Stats Online považuje 0,7 a vyšší. (Brezina 2018)</w:t>
      </w:r>
    </w:p>
    <w:p w14:paraId="50C1655D" w14:textId="693080E1" w:rsidR="00D746B1" w:rsidRDefault="00D746B1" w:rsidP="002E2CD9">
      <w:r>
        <w:t xml:space="preserve">Následuje </w:t>
      </w:r>
      <w:r w:rsidRPr="00B731E9">
        <w:rPr>
          <w:i/>
        </w:rPr>
        <w:t>Nagalkerkův R kvadrát</w:t>
      </w:r>
      <w:r>
        <w:t xml:space="preserve">, který určuje </w:t>
      </w:r>
      <w:r w:rsidR="00BC29F8">
        <w:t>množství variace</w:t>
      </w:r>
      <w:r>
        <w:t xml:space="preserve">, kterou model vysvětluje. </w:t>
      </w:r>
      <w:r w:rsidR="00BC29F8">
        <w:t xml:space="preserve">(Brezina 2018) Uvedená 4% jsou velmi malá hodnota. Poslední vlastnost, </w:t>
      </w:r>
      <w:r w:rsidR="00BC29F8" w:rsidRPr="00B731E9">
        <w:rPr>
          <w:i/>
        </w:rPr>
        <w:t>AIC,</w:t>
      </w:r>
      <w:r w:rsidR="00BC29F8">
        <w:t xml:space="preserve"> je hodnota, která slouží pro porovnávání dvou různých modelů nad stejnými daty. </w:t>
      </w:r>
      <w:r w:rsidR="002E2CD9">
        <w:t xml:space="preserve">(Brezina 2018) </w:t>
      </w:r>
      <w:r w:rsidR="00BC29F8">
        <w:t>V tomto výzkumu je použit pouze jed</w:t>
      </w:r>
      <w:r w:rsidR="00366ED9">
        <w:t>e</w:t>
      </w:r>
      <w:r w:rsidR="00BC29F8">
        <w:t>n</w:t>
      </w:r>
      <w:r w:rsidR="00366ED9">
        <w:t xml:space="preserve"> model, proto je</w:t>
      </w:r>
      <w:r w:rsidR="00BC29F8">
        <w:t xml:space="preserve"> hodnota </w:t>
      </w:r>
      <w:r w:rsidR="00BC29F8" w:rsidRPr="00B731E9">
        <w:rPr>
          <w:i/>
        </w:rPr>
        <w:t>AIC</w:t>
      </w:r>
      <w:r w:rsidR="00BC29F8">
        <w:t xml:space="preserve"> irelevantní.</w:t>
      </w:r>
    </w:p>
    <w:p w14:paraId="265A7322" w14:textId="44012C9C" w:rsidR="005216B4" w:rsidRDefault="005216B4" w:rsidP="002E2CD9">
      <w:r>
        <w:t>Po údajích, které popisují vlastnosti modelu</w:t>
      </w:r>
      <w:r w:rsidR="009D1923">
        <w:t>,</w:t>
      </w:r>
      <w:r>
        <w:t xml:space="preserve"> </w:t>
      </w:r>
      <w:r w:rsidR="00B731E9">
        <w:t>následuje</w:t>
      </w:r>
      <w:r>
        <w:t xml:space="preserve"> část zvaná koeficienty, která popisuje model jako takový. </w:t>
      </w:r>
      <w:r w:rsidR="00EC5042">
        <w:t xml:space="preserve">Jako </w:t>
      </w:r>
      <w:r w:rsidR="00EC5042" w:rsidRPr="00EC5042">
        <w:rPr>
          <w:i/>
        </w:rPr>
        <w:t>odds</w:t>
      </w:r>
      <w:r w:rsidR="00EC5042">
        <w:t xml:space="preserve"> je označena šance, že náhodně vybraný výskyt v daném subkorpusu je zapsán kanou. </w:t>
      </w:r>
      <w:r w:rsidR="00054CE5">
        <w:t xml:space="preserve">Je důležité oddělit pojmy šance a pravděpodobnost. </w:t>
      </w:r>
      <w:r w:rsidR="00EC5042">
        <w:t xml:space="preserve">Rozdíl mezi </w:t>
      </w:r>
      <w:r w:rsidR="00054CE5">
        <w:t>nimi</w:t>
      </w:r>
      <w:r w:rsidR="00EC5042">
        <w:t xml:space="preserve"> je ten, že šance nějakého jevu je číslo určující, kolikrát je pravděpodobnost tohoto jevu větší, než pravděpodobnost toho, že tento jev nenastane. (Brezina 2018)</w:t>
      </w:r>
    </w:p>
    <w:p w14:paraId="76FFAABA" w14:textId="77CE7F18" w:rsidR="00B53CA3" w:rsidRDefault="00FC1D84" w:rsidP="00B53CA3">
      <w:r>
        <w:t xml:space="preserve">První sloupec obsahuje hodnotu přirozeného logaritmu této šance. Je to technický údaj, který je zde ponechán, protože je součástí výstupu použitého nástroje. Pro interpretaci </w:t>
      </w:r>
      <w:r w:rsidR="00C2454D">
        <w:t>je lepší odpovídající sloup</w:t>
      </w:r>
      <w:r>
        <w:t>e</w:t>
      </w:r>
      <w:r w:rsidR="00C2454D">
        <w:t>c</w:t>
      </w:r>
      <w:r>
        <w:t xml:space="preserve"> Estimate (odds), který obsahuje tuto šanci přímo.</w:t>
      </w:r>
    </w:p>
    <w:p w14:paraId="4945976F" w14:textId="77777777" w:rsidR="00B53CA3" w:rsidRDefault="00B53CA3" w:rsidP="00B53CA3">
      <w:r>
        <w:t xml:space="preserve">Následuje sloupec se </w:t>
      </w:r>
      <w:r w:rsidRPr="001176EE">
        <w:rPr>
          <w:i/>
        </w:rPr>
        <w:t>standardní chybou</w:t>
      </w:r>
      <w:r>
        <w:t xml:space="preserve">, která určuje, jak přesně spočítaná šance reflektuje skutečnost. Čím menší číslo, tím lépe. (Brezina 2018) </w:t>
      </w:r>
      <w:r w:rsidRPr="001176EE">
        <w:rPr>
          <w:i/>
        </w:rPr>
        <w:t>Waldovo z</w:t>
      </w:r>
      <w:r>
        <w:t xml:space="preserve"> a s ním svázaná </w:t>
      </w:r>
      <w:r w:rsidRPr="001176EE">
        <w:rPr>
          <w:i/>
        </w:rPr>
        <w:t>hladina významnosti</w:t>
      </w:r>
      <w:r>
        <w:t xml:space="preserve"> určují</w:t>
      </w:r>
      <w:r w:rsidRPr="001176EE">
        <w:t xml:space="preserve"> statistickou významnost</w:t>
      </w:r>
      <w:r>
        <w:t xml:space="preserve"> každého řád</w:t>
      </w:r>
      <w:r w:rsidR="00C2454D">
        <w:t>ku.</w:t>
      </w:r>
      <w:r w:rsidR="00F23399">
        <w:t xml:space="preserve"> Ty řádky, které mají </w:t>
      </w:r>
      <w:r w:rsidR="00F23399" w:rsidRPr="001176EE">
        <w:rPr>
          <w:i/>
        </w:rPr>
        <w:t>hladinu významnosti</w:t>
      </w:r>
      <w:r w:rsidR="00F23399">
        <w:t xml:space="preserve"> větší</w:t>
      </w:r>
      <w:r w:rsidR="009D1923">
        <w:t xml:space="preserve"> </w:t>
      </w:r>
      <w:r w:rsidR="00F23399">
        <w:t xml:space="preserve">než 0,05, lze z další interpretace vyloučit. Znamená to totiž, že nejsou </w:t>
      </w:r>
      <w:r w:rsidR="00F23399">
        <w:lastRenderedPageBreak/>
        <w:t xml:space="preserve">statisticky významné. Hodnoty v nich pozorované mohou být </w:t>
      </w:r>
      <w:r w:rsidR="005E13E1">
        <w:t xml:space="preserve">s velkou pravděpodobností </w:t>
      </w:r>
      <w:r w:rsidR="00F23399">
        <w:t xml:space="preserve">dílem náhody. Neznamená to, že </w:t>
      </w:r>
      <w:r w:rsidR="005E13E1">
        <w:t>tyto údaje jsou špatné, pouze nelze vyloučit jejich náhodný původ. (Brezina 2018)</w:t>
      </w:r>
    </w:p>
    <w:p w14:paraId="0DCF4C87" w14:textId="58F3DEE9" w:rsidR="008105D1" w:rsidRDefault="00C2454D" w:rsidP="00B53CA3">
      <w:r>
        <w:t>Další sloupec</w:t>
      </w:r>
      <w:r w:rsidR="009D1923">
        <w:t xml:space="preserve"> </w:t>
      </w:r>
      <w:r>
        <w:t>Estimate (odds) obsahuje šanci, že výskyt pat</w:t>
      </w:r>
      <w:r w:rsidR="001176EE">
        <w:t>řící do kategorie určené řádkem,</w:t>
      </w:r>
      <w:r w:rsidR="00781018">
        <w:t xml:space="preserve"> bude napsán kanou. </w:t>
      </w:r>
      <w:r w:rsidR="001176EE">
        <w:t>V prvním řákdu,</w:t>
      </w:r>
      <w:r w:rsidR="00781018">
        <w:t xml:space="preserve"> </w:t>
      </w:r>
      <w:r w:rsidR="001176EE">
        <w:t xml:space="preserve">který </w:t>
      </w:r>
      <w:r w:rsidR="00781018">
        <w:t>obsahuje popis základních hodnot vysvětlujících proměnných</w:t>
      </w:r>
      <w:r w:rsidR="001176EE">
        <w:t>,</w:t>
      </w:r>
      <w:r w:rsidR="00781018">
        <w:t xml:space="preserve"> (Brezina 2018) </w:t>
      </w:r>
      <w:r w:rsidR="001176EE">
        <w:t>se s danou hodnotou počítá jinak, než ve zbytku tabulky. Základní hodnotou je</w:t>
      </w:r>
      <w:r w:rsidR="00781018">
        <w:t xml:space="preserve"> subkorpus</w:t>
      </w:r>
      <w:r w:rsidR="001176EE">
        <w:t xml:space="preserve"> </w:t>
      </w:r>
      <w:r w:rsidR="001176EE" w:rsidRPr="001176EE">
        <w:rPr>
          <w:rFonts w:hint="eastAsia"/>
          <w:i/>
        </w:rPr>
        <w:t>Vydan</w:t>
      </w:r>
      <w:r w:rsidR="001176EE">
        <w:rPr>
          <w:i/>
        </w:rPr>
        <w:t>é</w:t>
      </w:r>
      <w:r w:rsidR="001176EE" w:rsidRPr="001176EE">
        <w:rPr>
          <w:rFonts w:hint="eastAsia"/>
          <w:i/>
        </w:rPr>
        <w:t xml:space="preserve"> texty </w:t>
      </w:r>
      <w:r w:rsidR="001176EE" w:rsidRPr="001176EE">
        <w:rPr>
          <w:i/>
        </w:rPr>
        <w:t>–</w:t>
      </w:r>
      <w:r w:rsidR="001176EE" w:rsidRPr="001176EE">
        <w:rPr>
          <w:rFonts w:hint="eastAsia"/>
          <w:i/>
        </w:rPr>
        <w:t xml:space="preserve"> knihy</w:t>
      </w:r>
      <w:r w:rsidR="001176EE">
        <w:rPr>
          <w:rFonts w:hint="eastAsia"/>
        </w:rPr>
        <w:t>.</w:t>
      </w:r>
      <w:r w:rsidR="00781018">
        <w:rPr>
          <w:rFonts w:hint="eastAsia"/>
        </w:rPr>
        <w:t xml:space="preserve"> </w:t>
      </w:r>
      <w:r w:rsidR="00CF5EB0">
        <w:t xml:space="preserve">Pro ten je </w:t>
      </w:r>
      <w:r w:rsidR="001176EE">
        <w:t xml:space="preserve">uvedena </w:t>
      </w:r>
      <w:r w:rsidR="00CF5EB0">
        <w:t>šance zápisu uči kanou 10,426. Pravděpodobnost se z šance určí vztahem</w:t>
      </w:r>
      <w:r w:rsidR="00DF6A6E">
        <w:t>:</w:t>
      </w:r>
    </w:p>
    <w:p w14:paraId="64B78A4B" w14:textId="77777777" w:rsidR="008105D1" w:rsidRDefault="008105D1" w:rsidP="008105D1">
      <w:pPr>
        <w:pStyle w:val="Titulek"/>
        <w:keepNext/>
      </w:pPr>
      <w:r>
        <w:t xml:space="preserve">Rovnice </w:t>
      </w:r>
      <w:r w:rsidR="006E221B">
        <w:rPr>
          <w:noProof/>
        </w:rPr>
        <w:fldChar w:fldCharType="begin"/>
      </w:r>
      <w:r w:rsidR="006E221B">
        <w:rPr>
          <w:noProof/>
        </w:rPr>
        <w:instrText xml:space="preserve"> SEQ Rovnice \* ARABIC </w:instrText>
      </w:r>
      <w:r w:rsidR="006E221B">
        <w:rPr>
          <w:noProof/>
        </w:rPr>
        <w:fldChar w:fldCharType="separate"/>
      </w:r>
      <w:r>
        <w:rPr>
          <w:noProof/>
        </w:rPr>
        <w:t>1</w:t>
      </w:r>
      <w:r w:rsidR="006E221B">
        <w:rPr>
          <w:noProof/>
        </w:rPr>
        <w:fldChar w:fldCharType="end"/>
      </w:r>
      <w:r>
        <w:t>: Výpočet pravděpodobnosti z</w:t>
      </w:r>
      <w:r w:rsidR="001F1596">
        <w:t> </w:t>
      </w:r>
      <w:r>
        <w:t>šance</w:t>
      </w:r>
      <w:r w:rsidR="001F1596">
        <w:t xml:space="preserve"> </w:t>
      </w:r>
      <w:r w:rsidR="001F1596" w:rsidRPr="001F1596">
        <w:t>(Řeháková 2000, s. 477)</w:t>
      </w:r>
    </w:p>
    <w:p w14:paraId="70414260" w14:textId="77777777" w:rsidR="00C2454D" w:rsidRPr="00DF6A6E" w:rsidRDefault="00CF5EB0" w:rsidP="00B53CA3">
      <m:oMathPara>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Š(A)</m:t>
              </m:r>
            </m:num>
            <m:den>
              <m:r>
                <w:rPr>
                  <w:rFonts w:ascii="Cambria Math" w:hAnsi="Cambria Math"/>
                </w:rPr>
                <m:t>1+Š(A)</m:t>
              </m:r>
            </m:den>
          </m:f>
          <m:r>
            <w:rPr>
              <w:rFonts w:ascii="Cambria Math" w:hAnsi="Cambria Math"/>
            </w:rPr>
            <m:t>=</m:t>
          </m:r>
          <m:f>
            <m:fPr>
              <m:ctrlPr>
                <w:rPr>
                  <w:rFonts w:ascii="Cambria Math" w:hAnsi="Cambria Math"/>
                  <w:i/>
                </w:rPr>
              </m:ctrlPr>
            </m:fPr>
            <m:num>
              <m:r>
                <w:rPr>
                  <w:rFonts w:ascii="Cambria Math" w:hAnsi="Cambria Math"/>
                </w:rPr>
                <m:t>10,426</m:t>
              </m:r>
            </m:num>
            <m:den>
              <m:r>
                <w:rPr>
                  <w:rFonts w:ascii="Cambria Math" w:hAnsi="Cambria Math"/>
                </w:rPr>
                <m:t>11,426</m:t>
              </m:r>
            </m:den>
          </m:f>
          <m:acc>
            <m:accPr>
              <m:chr m:val="̇"/>
              <m:ctrlPr>
                <w:rPr>
                  <w:rFonts w:ascii="Cambria Math" w:hAnsi="Cambria Math"/>
                  <w:i/>
                </w:rPr>
              </m:ctrlPr>
            </m:accPr>
            <m:e>
              <m:r>
                <w:rPr>
                  <w:rFonts w:ascii="Cambria Math" w:hAnsi="Cambria Math"/>
                </w:rPr>
                <m:t>=</m:t>
              </m:r>
            </m:e>
          </m:acc>
          <m:r>
            <w:rPr>
              <w:rFonts w:ascii="Cambria Math" w:hAnsi="Cambria Math"/>
            </w:rPr>
            <m:t>0,9125=91,25%</m:t>
          </m:r>
        </m:oMath>
      </m:oMathPara>
    </w:p>
    <w:p w14:paraId="129C42A1" w14:textId="18CE1341" w:rsidR="00DF6A6E" w:rsidRDefault="00DF6A6E" w:rsidP="00DF6A6E">
      <w:pPr>
        <w:pStyle w:val="Bezmezer"/>
      </w:pPr>
      <w:r>
        <w:t>Kde P(A) značí pravděpodobnos</w:t>
      </w:r>
      <w:r w:rsidR="009D1923">
        <w:t>t</w:t>
      </w:r>
      <w:r>
        <w:t xml:space="preserve">, že nastane nějaký jev, v tomto případě že náhodně vybraný zápis slova uči v subkorpusu </w:t>
      </w:r>
      <w:r w:rsidR="001176EE" w:rsidRPr="001176EE">
        <w:rPr>
          <w:rFonts w:hint="eastAsia"/>
          <w:i/>
        </w:rPr>
        <w:t>Vydané texty - knihy</w:t>
      </w:r>
      <w:r>
        <w:rPr>
          <w:rFonts w:hint="eastAsia"/>
        </w:rPr>
        <w:t xml:space="preserve"> je zapsán kanou. </w:t>
      </w:r>
      <w:r>
        <w:t xml:space="preserve">Š(A) je šance téhož jevu. </w:t>
      </w:r>
      <w:r w:rsidR="00AF7E78">
        <w:t>Tato v</w:t>
      </w:r>
      <w:r>
        <w:t xml:space="preserve">ypočtená hodnota odpovídá </w:t>
      </w:r>
      <w:r w:rsidRPr="001176EE">
        <w:rPr>
          <w:i/>
        </w:rPr>
        <w:t>Tabulce 2</w:t>
      </w:r>
      <w:r>
        <w:t xml:space="preserve">, kde je </w:t>
      </w:r>
      <w:r w:rsidR="009D1923">
        <w:t>pro tento subkorpus uveden podíl</w:t>
      </w:r>
      <w:r>
        <w:t xml:space="preserve"> zápisu </w:t>
      </w:r>
      <w:r w:rsidR="009D1923">
        <w:t>hiraganou</w:t>
      </w:r>
      <w:r>
        <w:t xml:space="preserve"> 91,10% a </w:t>
      </w:r>
      <w:r w:rsidR="009D1923">
        <w:t xml:space="preserve">katakanou </w:t>
      </w:r>
      <w:r>
        <w:t>0,15%</w:t>
      </w:r>
      <w:r w:rsidR="009D1923">
        <w:t>,</w:t>
      </w:r>
      <w:r>
        <w:t xml:space="preserve"> což je v součtu právě 91,25%.</w:t>
      </w:r>
    </w:p>
    <w:p w14:paraId="0FB4E7BE" w14:textId="6C046168" w:rsidR="00DF6A6E" w:rsidRDefault="00DF6A6E" w:rsidP="00DF6A6E">
      <w:r>
        <w:t xml:space="preserve">Všechny </w:t>
      </w:r>
      <w:r w:rsidR="003D2520">
        <w:t>ostatní</w:t>
      </w:r>
      <w:r>
        <w:t xml:space="preserve"> řádky se neinterpretují takto přímo, protože jsou vyjádřeny vůči tomu prvnímu. To znamená, že například </w:t>
      </w:r>
      <w:r w:rsidR="00B54091">
        <w:t>hodnota uvedená pro subkor</w:t>
      </w:r>
      <w:r w:rsidR="00B54091" w:rsidRPr="00847B55">
        <w:rPr>
          <w:szCs w:val="24"/>
        </w:rPr>
        <w:t>pus</w:t>
      </w:r>
      <w:r w:rsidR="001176EE" w:rsidRPr="00847B55">
        <w:rPr>
          <w:szCs w:val="24"/>
        </w:rPr>
        <w:t xml:space="preserve"> </w:t>
      </w:r>
      <w:r w:rsidR="00847B55" w:rsidRPr="00847B55">
        <w:rPr>
          <w:rFonts w:eastAsia="ＭＳ 明朝" w:cs="ＭＳ 明朝"/>
          <w:i/>
          <w:szCs w:val="24"/>
        </w:rPr>
        <w:t>Ostatní - vládní zprávy</w:t>
      </w:r>
      <w:r w:rsidR="00B54091" w:rsidRPr="00847B55">
        <w:rPr>
          <w:rFonts w:eastAsia="ＭＳ 明朝" w:cs="ＭＳ 明朝"/>
          <w:szCs w:val="24"/>
        </w:rPr>
        <w:t xml:space="preserve"> (10,040), </w:t>
      </w:r>
      <w:r w:rsidR="00847B55">
        <w:rPr>
          <w:rFonts w:eastAsia="ＭＳ 明朝" w:cs="ＭＳ 明朝"/>
          <w:szCs w:val="24"/>
        </w:rPr>
        <w:t>říká</w:t>
      </w:r>
      <w:r w:rsidR="00B54091" w:rsidRPr="00B54091">
        <w:rPr>
          <w:rFonts w:eastAsia="ＭＳ 明朝" w:cs="ＭＳ 明朝"/>
          <w:sz w:val="22"/>
        </w:rPr>
        <w:t xml:space="preserve">, že </w:t>
      </w:r>
      <w:r w:rsidR="00B54091">
        <w:rPr>
          <w:rFonts w:eastAsia="ＭＳ 明朝" w:cs="ＭＳ 明朝"/>
          <w:sz w:val="22"/>
        </w:rPr>
        <w:t>šance na výskyt kanou v tomto subkorpusu je desetkrát větší, než v</w:t>
      </w:r>
      <w:r w:rsidR="00847B55" w:rsidRPr="00847B55">
        <w:rPr>
          <w:rFonts w:hint="eastAsia"/>
          <w:i/>
        </w:rPr>
        <w:t xml:space="preserve"> </w:t>
      </w:r>
      <w:r w:rsidR="00847B55" w:rsidRPr="001176EE">
        <w:rPr>
          <w:rFonts w:hint="eastAsia"/>
          <w:i/>
        </w:rPr>
        <w:t>Vydané texty - knihy</w:t>
      </w:r>
      <w:r w:rsidR="00B54091">
        <w:rPr>
          <w:rFonts w:hint="eastAsia"/>
        </w:rPr>
        <w:t xml:space="preserve">. </w:t>
      </w:r>
      <w:r w:rsidR="00B54091">
        <w:t>Platí tedy</w:t>
      </w:r>
      <w:r w:rsidR="00C15BBC">
        <w:t>, že</w:t>
      </w:r>
      <w:r w:rsidR="00B54091">
        <w:t>:</w:t>
      </w:r>
      <w:r w:rsidR="00C15BBC">
        <w:t xml:space="preserve"> </w:t>
      </w:r>
      <m:oMath>
        <m:r>
          <w:rPr>
            <w:rFonts w:ascii="Cambria Math" w:hAnsi="Cambria Math"/>
          </w:rPr>
          <m:t>10,426 ∙ 10,040</m:t>
        </m:r>
        <m:acc>
          <m:accPr>
            <m:chr m:val="̇"/>
            <m:ctrlPr>
              <w:rPr>
                <w:rFonts w:ascii="Cambria Math" w:hAnsi="Cambria Math"/>
                <w:i/>
              </w:rPr>
            </m:ctrlPr>
          </m:accPr>
          <m:e>
            <m:r>
              <w:rPr>
                <w:rFonts w:ascii="Cambria Math" w:hAnsi="Cambria Math"/>
              </w:rPr>
              <m:t>=</m:t>
            </m:r>
          </m:e>
        </m:acc>
        <m:r>
          <w:rPr>
            <w:rFonts w:ascii="Cambria Math" w:hAnsi="Cambria Math"/>
          </w:rPr>
          <m:t>104,68</m:t>
        </m:r>
      </m:oMath>
      <w:r w:rsidR="00C15BBC">
        <w:t>, což po dosazení do vzorečku výše dá pravděpodobnost výskytu v kaně v tomto subkorpusu 0,9905 (99,05%).</w:t>
      </w:r>
      <w:r w:rsidR="002F00CE">
        <w:t xml:space="preserve"> Toto opět odpovídá údaji 99,05% v </w:t>
      </w:r>
      <w:r w:rsidR="002F00CE" w:rsidRPr="00847B55">
        <w:rPr>
          <w:i/>
        </w:rPr>
        <w:t>Tabulce 2</w:t>
      </w:r>
      <w:r w:rsidR="002F00CE">
        <w:t>.</w:t>
      </w:r>
      <w:r w:rsidR="00E719E6">
        <w:t xml:space="preserve"> Protože je uvedená šance relativní vůči prvnímu řádku, je hodnota 1 specifická tím, že značí situaci, kdy k žádné změně šance nedojde, hodnoty menší značí menší šanci a s většími hodnotami zase šance na zápis kanou vzrůstá. Lze tedy shrnout, že čím větší číslo v tabulce je, tím větší podíl kany danému řádku odpovídá.</w:t>
      </w:r>
    </w:p>
    <w:p w14:paraId="2A2B21EA" w14:textId="4AEEC121" w:rsidR="003E47E9" w:rsidRDefault="00402BF0" w:rsidP="00DF6A6E">
      <w:pPr>
        <w:rPr>
          <w:rFonts w:eastAsia="ＭＳ 明朝" w:cs="ＭＳ 明朝"/>
          <w:sz w:val="22"/>
        </w:rPr>
      </w:pPr>
      <w:r>
        <w:t xml:space="preserve">Poslední dva sloupce udávají interval spolehlivosti na hladině významnosti 95%. V korpusu nejsou zastoupeny všechny texty, jedná se o jejich výběr. Interval spolehlivosti s hladinou významnosti 95% říká, že </w:t>
      </w:r>
      <w:r>
        <w:lastRenderedPageBreak/>
        <w:t>sledovaná hodnota se bude ve všech textech</w:t>
      </w:r>
      <w:r w:rsidR="00DA6926">
        <w:t xml:space="preserve"> </w:t>
      </w:r>
      <w:r>
        <w:t>na základě výskytů ve vzorku</w:t>
      </w:r>
      <w:r w:rsidR="00DA6926">
        <w:t xml:space="preserve"> v</w:t>
      </w:r>
      <w:r>
        <w:t xml:space="preserve">yskytovat s pravděpodobností 95% </w:t>
      </w:r>
      <w:r w:rsidR="009234CF">
        <w:t>uvnitř tohoto intervalu. Interval spolehlivosti je uveden pro šanci, což znamená, že, vezme-li se za příklad o</w:t>
      </w:r>
      <w:r w:rsidR="009234CF" w:rsidRPr="008B1C26">
        <w:rPr>
          <w:szCs w:val="24"/>
        </w:rPr>
        <w:t xml:space="preserve">pět </w:t>
      </w:r>
      <w:r w:rsidR="008B1C26" w:rsidRPr="008B1C26">
        <w:rPr>
          <w:rFonts w:eastAsia="ＭＳ 明朝" w:cs="ＭＳ 明朝"/>
          <w:i/>
          <w:szCs w:val="24"/>
        </w:rPr>
        <w:t>Ostatní - vládní zprávy</w:t>
      </w:r>
      <w:r w:rsidR="009234CF" w:rsidRPr="008B1C26">
        <w:rPr>
          <w:rFonts w:eastAsia="ＭＳ 明朝" w:cs="ＭＳ 明朝"/>
          <w:szCs w:val="24"/>
        </w:rPr>
        <w:t>, je i</w:t>
      </w:r>
      <w:r w:rsidR="009234CF">
        <w:rPr>
          <w:rFonts w:eastAsia="ＭＳ 明朝" w:cs="ＭＳ 明朝"/>
          <w:sz w:val="22"/>
        </w:rPr>
        <w:t xml:space="preserve">nterpretací výsledků konstatování, že na základě pozorování je ve všech vládních zprávách podíl zápisu kanou něco mezi </w:t>
      </w:r>
      <w:r w:rsidR="009234CF" w:rsidRPr="009234CF">
        <w:rPr>
          <w:rFonts w:eastAsia="ＭＳ 明朝" w:cs="ＭＳ 明朝"/>
          <w:sz w:val="22"/>
        </w:rPr>
        <w:t>98,55%</w:t>
      </w:r>
      <w:r w:rsidR="009234CF">
        <w:rPr>
          <w:rFonts w:eastAsia="ＭＳ 明朝" w:cs="ＭＳ 明朝"/>
          <w:sz w:val="22"/>
        </w:rPr>
        <w:t xml:space="preserve"> a </w:t>
      </w:r>
      <w:r w:rsidR="009234CF" w:rsidRPr="009234CF">
        <w:rPr>
          <w:rFonts w:eastAsia="ＭＳ 明朝" w:cs="ＭＳ 明朝"/>
          <w:sz w:val="22"/>
        </w:rPr>
        <w:t>99,41%</w:t>
      </w:r>
      <w:r w:rsidR="009234CF">
        <w:rPr>
          <w:rFonts w:eastAsia="ＭＳ 明朝" w:cs="ＭＳ 明朝"/>
          <w:sz w:val="22"/>
        </w:rPr>
        <w:t>. Vynásobené šance z dolní hranice inte</w:t>
      </w:r>
      <w:r w:rsidR="008B1C26">
        <w:rPr>
          <w:rFonts w:eastAsia="ＭＳ 明朝" w:cs="ＭＳ 明朝"/>
          <w:sz w:val="22"/>
        </w:rPr>
        <w:t>r</w:t>
      </w:r>
      <w:r w:rsidR="009234CF">
        <w:rPr>
          <w:rFonts w:eastAsia="ＭＳ 明朝" w:cs="ＭＳ 明朝"/>
          <w:sz w:val="22"/>
        </w:rPr>
        <w:t xml:space="preserve">valu jsou </w:t>
      </w:r>
      <m:oMath>
        <m:r>
          <w:rPr>
            <w:rFonts w:ascii="Cambria Math" w:eastAsia="ＭＳ 明朝" w:hAnsi="Cambria Math" w:cs="ＭＳ 明朝"/>
            <w:sz w:val="22"/>
          </w:rPr>
          <m:t>9,714∙7,015</m:t>
        </m:r>
        <m:acc>
          <m:accPr>
            <m:chr m:val="̇"/>
            <m:ctrlPr>
              <w:rPr>
                <w:rFonts w:ascii="Cambria Math" w:eastAsia="ＭＳ 明朝" w:hAnsi="Cambria Math" w:cs="ＭＳ 明朝"/>
                <w:i/>
                <w:sz w:val="22"/>
              </w:rPr>
            </m:ctrlPr>
          </m:accPr>
          <m:e>
            <m:r>
              <w:rPr>
                <w:rFonts w:ascii="Cambria Math" w:eastAsia="ＭＳ 明朝" w:hAnsi="Cambria Math" w:cs="ＭＳ 明朝"/>
                <w:sz w:val="22"/>
              </w:rPr>
              <m:t>=</m:t>
            </m:r>
          </m:e>
        </m:acc>
        <m:r>
          <w:rPr>
            <w:rFonts w:ascii="Cambria Math" w:eastAsia="ＭＳ 明朝" w:hAnsi="Cambria Math" w:cs="ＭＳ 明朝"/>
            <w:sz w:val="22"/>
          </w:rPr>
          <m:t>68,14</m:t>
        </m:r>
      </m:oMath>
      <w:r w:rsidR="00FE5307">
        <w:rPr>
          <w:rFonts w:eastAsia="ＭＳ 明朝" w:cs="ＭＳ 明朝"/>
          <w:sz w:val="22"/>
        </w:rPr>
        <w:t>, po dosazení do vzorečku v Rovnici 1 se získá pravděpodobnost 98,55% a horní hranice se získá obdobně.</w:t>
      </w:r>
    </w:p>
    <w:p w14:paraId="53C0E932" w14:textId="35B962AB" w:rsidR="00A1174A" w:rsidRDefault="00F23399" w:rsidP="00DF6A6E">
      <w:pPr>
        <w:rPr>
          <w:rFonts w:eastAsia="ＭＳ 明朝" w:cs="ＭＳ 明朝"/>
          <w:sz w:val="22"/>
        </w:rPr>
      </w:pPr>
      <w:r>
        <w:rPr>
          <w:rFonts w:eastAsia="ＭＳ 明朝" w:cs="ＭＳ 明朝"/>
          <w:sz w:val="22"/>
        </w:rPr>
        <w:t>V</w:t>
      </w:r>
      <w:r w:rsidRPr="00E31790">
        <w:rPr>
          <w:rFonts w:eastAsia="ＭＳ 明朝" w:cs="ＭＳ 明朝"/>
          <w:i/>
          <w:sz w:val="22"/>
        </w:rPr>
        <w:t> Tabulce 4</w:t>
      </w:r>
      <w:r>
        <w:rPr>
          <w:rFonts w:eastAsia="ＭＳ 明朝" w:cs="ＭＳ 明朝"/>
          <w:sz w:val="22"/>
        </w:rPr>
        <w:t xml:space="preserve"> jsou </w:t>
      </w:r>
      <w:r w:rsidR="00E31790">
        <w:rPr>
          <w:rFonts w:eastAsia="ＭＳ 明朝" w:cs="ＭＳ 明朝"/>
          <w:sz w:val="22"/>
        </w:rPr>
        <w:t xml:space="preserve">tedy </w:t>
      </w:r>
      <w:r>
        <w:rPr>
          <w:rFonts w:eastAsia="ＭＳ 明朝" w:cs="ＭＳ 明朝"/>
          <w:sz w:val="22"/>
        </w:rPr>
        <w:t>vlastně zakódovány údaje z </w:t>
      </w:r>
      <w:r w:rsidR="00E31790" w:rsidRPr="00E31790">
        <w:rPr>
          <w:rFonts w:eastAsia="ＭＳ 明朝" w:cs="ＭＳ 明朝"/>
          <w:i/>
          <w:sz w:val="22"/>
        </w:rPr>
        <w:t>T</w:t>
      </w:r>
      <w:r w:rsidRPr="00E31790">
        <w:rPr>
          <w:rFonts w:eastAsia="ＭＳ 明朝" w:cs="ＭＳ 明朝"/>
          <w:i/>
          <w:sz w:val="22"/>
        </w:rPr>
        <w:t>abulky 2</w:t>
      </w:r>
      <w:r w:rsidR="00996C9E">
        <w:rPr>
          <w:rFonts w:eastAsia="ＭＳ 明朝" w:cs="ＭＳ 明朝"/>
          <w:sz w:val="22"/>
        </w:rPr>
        <w:t xml:space="preserve">, doplněné o další údaje, z nichž nejdůležitější je hladina významnosti a interval spolehlivosti. Tyto údaje lze pro snazší čitelnost </w:t>
      </w:r>
      <w:r w:rsidR="00A80D79">
        <w:rPr>
          <w:rFonts w:eastAsia="ＭＳ 明朝" w:cs="ＭＳ 明朝"/>
          <w:sz w:val="22"/>
        </w:rPr>
        <w:t xml:space="preserve">zanést do zvláštní </w:t>
      </w:r>
      <w:r w:rsidR="006F1F42">
        <w:rPr>
          <w:rFonts w:eastAsia="ＭＳ 明朝" w:cs="ＭＳ 明朝"/>
          <w:sz w:val="22"/>
        </w:rPr>
        <w:t>tabulky (</w:t>
      </w:r>
      <w:r w:rsidR="006F1F42" w:rsidRPr="00E31790">
        <w:rPr>
          <w:rFonts w:eastAsia="ＭＳ 明朝" w:cs="ＭＳ 明朝"/>
          <w:i/>
          <w:sz w:val="22"/>
        </w:rPr>
        <w:t>Tabulka 5</w:t>
      </w:r>
      <w:r w:rsidR="006F1F42">
        <w:rPr>
          <w:rFonts w:eastAsia="ＭＳ 明朝" w:cs="ＭＳ 明朝"/>
          <w:sz w:val="22"/>
        </w:rPr>
        <w:t>).</w:t>
      </w:r>
      <w:r w:rsidR="00726DE6">
        <w:rPr>
          <w:rFonts w:eastAsia="ＭＳ 明朝" w:cs="ＭＳ 明朝"/>
          <w:sz w:val="22"/>
        </w:rPr>
        <w:t xml:space="preserve"> V této tabulce jsou statisticky nevýznamné záznamy zvýrazněny červeně. Z této tabulky lze potvrdit závěry vypozorované z </w:t>
      </w:r>
      <w:r w:rsidR="00726DE6" w:rsidRPr="00804DA0">
        <w:rPr>
          <w:rFonts w:eastAsia="ＭＳ 明朝" w:cs="ＭＳ 明朝"/>
          <w:i/>
          <w:sz w:val="22"/>
        </w:rPr>
        <w:t>Tabulky 2</w:t>
      </w:r>
      <w:r w:rsidR="00726DE6">
        <w:rPr>
          <w:rFonts w:eastAsia="ＭＳ 明朝" w:cs="ＭＳ 明朝"/>
          <w:sz w:val="22"/>
        </w:rPr>
        <w:t>. Dolní meze intervalů spolehlivosti trojice subkorpusů</w:t>
      </w:r>
      <w:r w:rsidR="00726DE6">
        <w:rPr>
          <w:rFonts w:eastAsia="ＭＳ 明朝" w:cs="ＭＳ 明朝" w:hint="eastAsia"/>
          <w:sz w:val="22"/>
        </w:rPr>
        <w:t xml:space="preserve">, </w:t>
      </w:r>
      <w:r w:rsidR="00804DA0" w:rsidRPr="00804DA0">
        <w:rPr>
          <w:rFonts w:eastAsia="ＭＳ 明朝" w:cs="ＭＳ 明朝"/>
          <w:i/>
          <w:sz w:val="22"/>
        </w:rPr>
        <w:t>Ostatní - vládní jednání</w:t>
      </w:r>
      <w:r w:rsidR="00A2283F">
        <w:rPr>
          <w:rFonts w:eastAsia="ＭＳ 明朝" w:cs="ＭＳ 明朝"/>
          <w:i/>
          <w:sz w:val="22"/>
        </w:rPr>
        <w:t>,</w:t>
      </w:r>
      <w:r w:rsidR="00804DA0">
        <w:rPr>
          <w:rFonts w:eastAsia="ＭＳ 明朝" w:cs="ＭＳ 明朝"/>
          <w:sz w:val="22"/>
        </w:rPr>
        <w:t xml:space="preserve"> </w:t>
      </w:r>
      <w:r w:rsidR="00804DA0" w:rsidRPr="00A2283F">
        <w:rPr>
          <w:rFonts w:eastAsia="ＭＳ 明朝" w:cs="ＭＳ 明朝"/>
          <w:i/>
          <w:sz w:val="22"/>
        </w:rPr>
        <w:t>Ostatní - zákoníky</w:t>
      </w:r>
      <w:r w:rsidR="00726DE6">
        <w:rPr>
          <w:rFonts w:eastAsia="ＭＳ 明朝" w:cs="ＭＳ 明朝" w:hint="eastAsia"/>
          <w:sz w:val="22"/>
        </w:rPr>
        <w:t xml:space="preserve"> a</w:t>
      </w:r>
      <w:r w:rsidR="00A2283F" w:rsidRPr="00A2283F">
        <w:t xml:space="preserve"> </w:t>
      </w:r>
      <w:r w:rsidR="00A2283F" w:rsidRPr="00A2283F">
        <w:rPr>
          <w:rFonts w:eastAsia="ＭＳ 明朝" w:cs="ＭＳ 明朝"/>
          <w:i/>
          <w:sz w:val="22"/>
        </w:rPr>
        <w:t>Ostatní - vládní zprávy</w:t>
      </w:r>
      <w:r w:rsidR="00726DE6">
        <w:rPr>
          <w:rFonts w:eastAsia="ＭＳ 明朝" w:cs="ＭＳ 明朝" w:hint="eastAsia"/>
          <w:sz w:val="22"/>
        </w:rPr>
        <w:t xml:space="preserve"> jsou v</w:t>
      </w:r>
      <w:r w:rsidR="00726DE6">
        <w:rPr>
          <w:rFonts w:eastAsia="ＭＳ 明朝" w:cs="ＭＳ 明朝"/>
          <w:sz w:val="22"/>
        </w:rPr>
        <w:t xml:space="preserve">ětší než horní mez </w:t>
      </w:r>
      <w:r w:rsidR="00726DE6" w:rsidRPr="00A2283F">
        <w:rPr>
          <w:rFonts w:eastAsia="ＭＳ 明朝" w:cs="ＭＳ 明朝"/>
          <w:i/>
          <w:sz w:val="22"/>
        </w:rPr>
        <w:t>intervalu spolehlivosti</w:t>
      </w:r>
      <w:r w:rsidR="00726DE6">
        <w:rPr>
          <w:rFonts w:eastAsia="ＭＳ 明朝" w:cs="ＭＳ 明朝"/>
          <w:sz w:val="22"/>
        </w:rPr>
        <w:t xml:space="preserve"> kteréhokoliv jiného subkorpusu.</w:t>
      </w:r>
    </w:p>
    <w:tbl>
      <w:tblPr>
        <w:tblW w:w="6120" w:type="dxa"/>
        <w:tblCellMar>
          <w:left w:w="70" w:type="dxa"/>
          <w:right w:w="70" w:type="dxa"/>
        </w:tblCellMar>
        <w:tblLook w:val="04A0" w:firstRow="1" w:lastRow="0" w:firstColumn="1" w:lastColumn="0" w:noHBand="0" w:noVBand="1"/>
      </w:tblPr>
      <w:tblGrid>
        <w:gridCol w:w="2800"/>
        <w:gridCol w:w="1240"/>
        <w:gridCol w:w="1027"/>
        <w:gridCol w:w="1053"/>
      </w:tblGrid>
      <w:tr w:rsidR="00A04D08" w:rsidRPr="00A04D08" w14:paraId="55090AA6" w14:textId="77777777" w:rsidTr="0016196E">
        <w:trPr>
          <w:cantSplit/>
          <w:trHeight w:val="315"/>
        </w:trPr>
        <w:tc>
          <w:tcPr>
            <w:tcW w:w="2800" w:type="dxa"/>
            <w:vMerge w:val="restart"/>
            <w:tcBorders>
              <w:top w:val="single" w:sz="12" w:space="0" w:color="auto"/>
              <w:left w:val="single" w:sz="12" w:space="0" w:color="auto"/>
              <w:bottom w:val="single" w:sz="8" w:space="0" w:color="000000"/>
              <w:right w:val="single" w:sz="4" w:space="0" w:color="auto"/>
            </w:tcBorders>
            <w:shd w:val="clear" w:color="000000" w:fill="BDD7EE"/>
            <w:noWrap/>
            <w:vAlign w:val="center"/>
            <w:hideMark/>
          </w:tcPr>
          <w:p w14:paraId="2ABEFF2D" w14:textId="77777777" w:rsidR="00A04D08" w:rsidRPr="00A04D08" w:rsidRDefault="00A04D08" w:rsidP="0016196E">
            <w:pPr>
              <w:keepNext/>
              <w:spacing w:line="240" w:lineRule="auto"/>
              <w:ind w:firstLine="0"/>
              <w:jc w:val="center"/>
              <w:rPr>
                <w:rFonts w:ascii="Calibri" w:eastAsia="Times New Roman" w:hAnsi="Calibri" w:cs="Times New Roman"/>
                <w:b/>
                <w:bCs/>
                <w:color w:val="000000"/>
                <w:sz w:val="22"/>
              </w:rPr>
            </w:pPr>
            <w:r w:rsidRPr="00A04D08">
              <w:rPr>
                <w:rFonts w:ascii="Calibri" w:eastAsia="Times New Roman" w:hAnsi="Calibri" w:cs="Times New Roman"/>
                <w:b/>
                <w:bCs/>
                <w:color w:val="000000"/>
                <w:sz w:val="22"/>
              </w:rPr>
              <w:t>Subkorpus</w:t>
            </w:r>
          </w:p>
        </w:tc>
        <w:tc>
          <w:tcPr>
            <w:tcW w:w="1240" w:type="dxa"/>
            <w:vMerge w:val="restart"/>
            <w:tcBorders>
              <w:top w:val="single" w:sz="12" w:space="0" w:color="auto"/>
              <w:left w:val="single" w:sz="4" w:space="0" w:color="auto"/>
              <w:bottom w:val="single" w:sz="8" w:space="0" w:color="000000"/>
              <w:right w:val="single" w:sz="4" w:space="0" w:color="auto"/>
            </w:tcBorders>
            <w:shd w:val="clear" w:color="000000" w:fill="BDD7EE"/>
            <w:noWrap/>
            <w:vAlign w:val="center"/>
            <w:hideMark/>
          </w:tcPr>
          <w:p w14:paraId="7C503D48" w14:textId="77777777" w:rsidR="00A04D08" w:rsidRPr="00A04D08" w:rsidRDefault="00A04D08" w:rsidP="0016196E">
            <w:pPr>
              <w:keepNext/>
              <w:spacing w:line="240" w:lineRule="auto"/>
              <w:ind w:firstLine="0"/>
              <w:jc w:val="center"/>
              <w:rPr>
                <w:rFonts w:ascii="Calibri" w:eastAsia="Times New Roman" w:hAnsi="Calibri" w:cs="Times New Roman"/>
                <w:b/>
                <w:bCs/>
                <w:color w:val="000000"/>
                <w:sz w:val="22"/>
              </w:rPr>
            </w:pPr>
            <w:r w:rsidRPr="00A04D08">
              <w:rPr>
                <w:rFonts w:ascii="Calibri" w:eastAsia="Times New Roman" w:hAnsi="Calibri" w:cs="Times New Roman"/>
                <w:b/>
                <w:bCs/>
                <w:color w:val="000000"/>
                <w:sz w:val="22"/>
              </w:rPr>
              <w:t>Podíl kany</w:t>
            </w:r>
          </w:p>
        </w:tc>
        <w:tc>
          <w:tcPr>
            <w:tcW w:w="2080" w:type="dxa"/>
            <w:gridSpan w:val="2"/>
            <w:tcBorders>
              <w:top w:val="single" w:sz="12" w:space="0" w:color="auto"/>
              <w:left w:val="nil"/>
              <w:bottom w:val="nil"/>
              <w:right w:val="single" w:sz="12" w:space="0" w:color="000000"/>
            </w:tcBorders>
            <w:shd w:val="clear" w:color="000000" w:fill="BDD7EE"/>
            <w:noWrap/>
            <w:vAlign w:val="bottom"/>
            <w:hideMark/>
          </w:tcPr>
          <w:p w14:paraId="2D4BEE7D" w14:textId="77777777" w:rsidR="00A04D08" w:rsidRPr="00A04D08" w:rsidRDefault="00A04D08" w:rsidP="0016196E">
            <w:pPr>
              <w:keepNext/>
              <w:spacing w:line="240" w:lineRule="auto"/>
              <w:ind w:firstLine="0"/>
              <w:jc w:val="center"/>
              <w:rPr>
                <w:rFonts w:ascii="Calibri" w:eastAsia="Times New Roman" w:hAnsi="Calibri" w:cs="Times New Roman"/>
                <w:b/>
                <w:bCs/>
                <w:color w:val="000000"/>
                <w:sz w:val="22"/>
              </w:rPr>
            </w:pPr>
            <w:r w:rsidRPr="00A04D08">
              <w:rPr>
                <w:rFonts w:ascii="Calibri" w:eastAsia="Times New Roman" w:hAnsi="Calibri" w:cs="Times New Roman"/>
                <w:b/>
                <w:bCs/>
                <w:color w:val="000000"/>
                <w:sz w:val="22"/>
              </w:rPr>
              <w:t>Interval spolehlivosti</w:t>
            </w:r>
          </w:p>
        </w:tc>
      </w:tr>
      <w:tr w:rsidR="00A04D08" w:rsidRPr="00A04D08" w14:paraId="5D4C4800" w14:textId="77777777" w:rsidTr="0016196E">
        <w:trPr>
          <w:cantSplit/>
          <w:trHeight w:val="315"/>
        </w:trPr>
        <w:tc>
          <w:tcPr>
            <w:tcW w:w="2800" w:type="dxa"/>
            <w:vMerge/>
            <w:tcBorders>
              <w:top w:val="single" w:sz="12" w:space="0" w:color="auto"/>
              <w:left w:val="single" w:sz="12" w:space="0" w:color="auto"/>
              <w:bottom w:val="single" w:sz="8" w:space="0" w:color="000000"/>
              <w:right w:val="single" w:sz="4" w:space="0" w:color="auto"/>
            </w:tcBorders>
            <w:vAlign w:val="center"/>
            <w:hideMark/>
          </w:tcPr>
          <w:p w14:paraId="56EA68F5" w14:textId="77777777" w:rsidR="00A04D08" w:rsidRPr="00A04D08" w:rsidRDefault="00A04D08" w:rsidP="0016196E">
            <w:pPr>
              <w:keepNext/>
              <w:spacing w:line="240" w:lineRule="auto"/>
              <w:ind w:firstLine="0"/>
              <w:jc w:val="left"/>
              <w:rPr>
                <w:rFonts w:ascii="Calibri" w:eastAsia="Times New Roman" w:hAnsi="Calibri" w:cs="Times New Roman"/>
                <w:b/>
                <w:bCs/>
                <w:color w:val="000000"/>
                <w:sz w:val="22"/>
              </w:rPr>
            </w:pPr>
          </w:p>
        </w:tc>
        <w:tc>
          <w:tcPr>
            <w:tcW w:w="1240" w:type="dxa"/>
            <w:vMerge/>
            <w:tcBorders>
              <w:top w:val="single" w:sz="12" w:space="0" w:color="auto"/>
              <w:left w:val="single" w:sz="4" w:space="0" w:color="auto"/>
              <w:bottom w:val="single" w:sz="8" w:space="0" w:color="000000"/>
              <w:right w:val="single" w:sz="4" w:space="0" w:color="auto"/>
            </w:tcBorders>
            <w:vAlign w:val="center"/>
            <w:hideMark/>
          </w:tcPr>
          <w:p w14:paraId="79C952FF" w14:textId="77777777" w:rsidR="00A04D08" w:rsidRPr="00A04D08" w:rsidRDefault="00A04D08" w:rsidP="0016196E">
            <w:pPr>
              <w:keepNext/>
              <w:spacing w:line="240" w:lineRule="auto"/>
              <w:ind w:firstLine="0"/>
              <w:jc w:val="left"/>
              <w:rPr>
                <w:rFonts w:ascii="Calibri" w:eastAsia="Times New Roman" w:hAnsi="Calibri" w:cs="Times New Roman"/>
                <w:b/>
                <w:bCs/>
                <w:color w:val="000000"/>
                <w:sz w:val="22"/>
              </w:rPr>
            </w:pPr>
          </w:p>
        </w:tc>
        <w:tc>
          <w:tcPr>
            <w:tcW w:w="1027" w:type="dxa"/>
            <w:tcBorders>
              <w:top w:val="nil"/>
              <w:left w:val="nil"/>
              <w:bottom w:val="single" w:sz="8" w:space="0" w:color="auto"/>
              <w:right w:val="single" w:sz="4" w:space="0" w:color="auto"/>
            </w:tcBorders>
            <w:shd w:val="clear" w:color="000000" w:fill="BDD7EE"/>
            <w:noWrap/>
            <w:vAlign w:val="bottom"/>
            <w:hideMark/>
          </w:tcPr>
          <w:p w14:paraId="3B81F23B" w14:textId="77777777" w:rsidR="00A04D08" w:rsidRPr="00A04D08" w:rsidRDefault="00A04D08" w:rsidP="0016196E">
            <w:pPr>
              <w:keepNext/>
              <w:spacing w:line="240" w:lineRule="auto"/>
              <w:ind w:firstLine="0"/>
              <w:jc w:val="center"/>
              <w:rPr>
                <w:rFonts w:ascii="Calibri" w:eastAsia="Times New Roman" w:hAnsi="Calibri" w:cs="Times New Roman"/>
                <w:b/>
                <w:bCs/>
                <w:color w:val="000000"/>
                <w:sz w:val="22"/>
              </w:rPr>
            </w:pPr>
            <w:r w:rsidRPr="00A04D08">
              <w:rPr>
                <w:rFonts w:ascii="Calibri" w:eastAsia="Times New Roman" w:hAnsi="Calibri" w:cs="Times New Roman"/>
                <w:b/>
                <w:bCs/>
                <w:color w:val="000000"/>
                <w:sz w:val="22"/>
              </w:rPr>
              <w:t>dolní mez</w:t>
            </w:r>
          </w:p>
        </w:tc>
        <w:tc>
          <w:tcPr>
            <w:tcW w:w="1053" w:type="dxa"/>
            <w:tcBorders>
              <w:top w:val="nil"/>
              <w:left w:val="nil"/>
              <w:bottom w:val="single" w:sz="8" w:space="0" w:color="auto"/>
              <w:right w:val="single" w:sz="12" w:space="0" w:color="auto"/>
            </w:tcBorders>
            <w:shd w:val="clear" w:color="000000" w:fill="BDD7EE"/>
            <w:noWrap/>
            <w:vAlign w:val="bottom"/>
            <w:hideMark/>
          </w:tcPr>
          <w:p w14:paraId="03368300" w14:textId="77777777" w:rsidR="00A04D08" w:rsidRPr="00A04D08" w:rsidRDefault="00A04D08" w:rsidP="0016196E">
            <w:pPr>
              <w:keepNext/>
              <w:spacing w:line="240" w:lineRule="auto"/>
              <w:ind w:firstLine="0"/>
              <w:jc w:val="center"/>
              <w:rPr>
                <w:rFonts w:ascii="Calibri" w:eastAsia="Times New Roman" w:hAnsi="Calibri" w:cs="Times New Roman"/>
                <w:b/>
                <w:bCs/>
                <w:color w:val="000000"/>
                <w:sz w:val="22"/>
              </w:rPr>
            </w:pPr>
            <w:r w:rsidRPr="00A04D08">
              <w:rPr>
                <w:rFonts w:ascii="Calibri" w:eastAsia="Times New Roman" w:hAnsi="Calibri" w:cs="Times New Roman"/>
                <w:b/>
                <w:bCs/>
                <w:color w:val="000000"/>
                <w:sz w:val="22"/>
              </w:rPr>
              <w:t>horní mez</w:t>
            </w:r>
          </w:p>
        </w:tc>
      </w:tr>
      <w:tr w:rsidR="00F97CD9" w:rsidRPr="00A04D08" w14:paraId="7BF00E5C" w14:textId="77777777" w:rsidTr="0016196E">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52732043" w14:textId="1972D31D" w:rsidR="00F97CD9" w:rsidRPr="00A04D08" w:rsidRDefault="00F97CD9" w:rsidP="00F97CD9">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color w:val="000000"/>
                <w:sz w:val="22"/>
              </w:rPr>
              <w:t>Vydané texty</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noviny</w:t>
            </w:r>
          </w:p>
        </w:tc>
        <w:tc>
          <w:tcPr>
            <w:tcW w:w="1240" w:type="dxa"/>
            <w:tcBorders>
              <w:top w:val="nil"/>
              <w:left w:val="nil"/>
              <w:bottom w:val="single" w:sz="4" w:space="0" w:color="auto"/>
              <w:right w:val="single" w:sz="4" w:space="0" w:color="auto"/>
            </w:tcBorders>
            <w:shd w:val="clear" w:color="auto" w:fill="auto"/>
            <w:noWrap/>
            <w:vAlign w:val="bottom"/>
            <w:hideMark/>
          </w:tcPr>
          <w:p w14:paraId="25A98947"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96,03%</w:t>
            </w:r>
          </w:p>
        </w:tc>
        <w:tc>
          <w:tcPr>
            <w:tcW w:w="1027" w:type="dxa"/>
            <w:tcBorders>
              <w:top w:val="nil"/>
              <w:left w:val="nil"/>
              <w:bottom w:val="single" w:sz="4" w:space="0" w:color="auto"/>
              <w:right w:val="single" w:sz="4" w:space="0" w:color="auto"/>
            </w:tcBorders>
            <w:shd w:val="clear" w:color="auto" w:fill="auto"/>
            <w:noWrap/>
            <w:vAlign w:val="bottom"/>
            <w:hideMark/>
          </w:tcPr>
          <w:p w14:paraId="74042196"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93,28%</w:t>
            </w:r>
          </w:p>
        </w:tc>
        <w:tc>
          <w:tcPr>
            <w:tcW w:w="1053" w:type="dxa"/>
            <w:tcBorders>
              <w:top w:val="nil"/>
              <w:left w:val="nil"/>
              <w:bottom w:val="single" w:sz="4" w:space="0" w:color="auto"/>
              <w:right w:val="single" w:sz="12" w:space="0" w:color="auto"/>
            </w:tcBorders>
            <w:shd w:val="clear" w:color="auto" w:fill="auto"/>
            <w:noWrap/>
            <w:vAlign w:val="bottom"/>
            <w:hideMark/>
          </w:tcPr>
          <w:p w14:paraId="5D896B8E"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97,86%</w:t>
            </w:r>
          </w:p>
        </w:tc>
      </w:tr>
      <w:tr w:rsidR="00F97CD9" w:rsidRPr="00A04D08" w14:paraId="6C3F0283" w14:textId="77777777" w:rsidTr="0016196E">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4363CF37" w14:textId="252934F2" w:rsidR="00F97CD9" w:rsidRPr="00A04D08" w:rsidRDefault="00F97CD9" w:rsidP="00F97CD9">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color w:val="000000"/>
                <w:sz w:val="22"/>
              </w:rPr>
              <w:t>Vydané texty</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knihy</w:t>
            </w:r>
          </w:p>
        </w:tc>
        <w:tc>
          <w:tcPr>
            <w:tcW w:w="1240" w:type="dxa"/>
            <w:tcBorders>
              <w:top w:val="nil"/>
              <w:left w:val="nil"/>
              <w:bottom w:val="single" w:sz="4" w:space="0" w:color="auto"/>
              <w:right w:val="single" w:sz="4" w:space="0" w:color="auto"/>
            </w:tcBorders>
            <w:shd w:val="clear" w:color="auto" w:fill="auto"/>
            <w:noWrap/>
            <w:vAlign w:val="bottom"/>
            <w:hideMark/>
          </w:tcPr>
          <w:p w14:paraId="67114B1E"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91,25%</w:t>
            </w:r>
          </w:p>
        </w:tc>
        <w:tc>
          <w:tcPr>
            <w:tcW w:w="1027" w:type="dxa"/>
            <w:tcBorders>
              <w:top w:val="nil"/>
              <w:left w:val="nil"/>
              <w:bottom w:val="single" w:sz="4" w:space="0" w:color="auto"/>
              <w:right w:val="single" w:sz="4" w:space="0" w:color="auto"/>
            </w:tcBorders>
            <w:shd w:val="clear" w:color="auto" w:fill="auto"/>
            <w:noWrap/>
            <w:vAlign w:val="bottom"/>
            <w:hideMark/>
          </w:tcPr>
          <w:p w14:paraId="1D7BAB72"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90,67%</w:t>
            </w:r>
          </w:p>
        </w:tc>
        <w:tc>
          <w:tcPr>
            <w:tcW w:w="1053" w:type="dxa"/>
            <w:tcBorders>
              <w:top w:val="nil"/>
              <w:left w:val="nil"/>
              <w:bottom w:val="single" w:sz="4" w:space="0" w:color="auto"/>
              <w:right w:val="single" w:sz="12" w:space="0" w:color="auto"/>
            </w:tcBorders>
            <w:shd w:val="clear" w:color="auto" w:fill="auto"/>
            <w:noWrap/>
            <w:vAlign w:val="bottom"/>
            <w:hideMark/>
          </w:tcPr>
          <w:p w14:paraId="2C6CFD52"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91,81%</w:t>
            </w:r>
          </w:p>
        </w:tc>
      </w:tr>
      <w:tr w:rsidR="00F97CD9" w:rsidRPr="00A04D08" w14:paraId="2CCDE9F7" w14:textId="77777777" w:rsidTr="0016196E">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48503F9E" w14:textId="28D6D444" w:rsidR="00F97CD9" w:rsidRPr="00A04D08" w:rsidRDefault="00F97CD9" w:rsidP="00F97CD9">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color w:val="000000"/>
                <w:sz w:val="22"/>
              </w:rPr>
              <w:t>Vydané texty</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časopisy</w:t>
            </w:r>
          </w:p>
        </w:tc>
        <w:tc>
          <w:tcPr>
            <w:tcW w:w="1240" w:type="dxa"/>
            <w:tcBorders>
              <w:top w:val="nil"/>
              <w:left w:val="nil"/>
              <w:bottom w:val="single" w:sz="4" w:space="0" w:color="auto"/>
              <w:right w:val="single" w:sz="4" w:space="0" w:color="auto"/>
            </w:tcBorders>
            <w:shd w:val="clear" w:color="auto" w:fill="auto"/>
            <w:noWrap/>
            <w:vAlign w:val="bottom"/>
            <w:hideMark/>
          </w:tcPr>
          <w:p w14:paraId="49A57D1E"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94,72%</w:t>
            </w:r>
          </w:p>
        </w:tc>
        <w:tc>
          <w:tcPr>
            <w:tcW w:w="1027" w:type="dxa"/>
            <w:tcBorders>
              <w:top w:val="nil"/>
              <w:left w:val="nil"/>
              <w:bottom w:val="single" w:sz="4" w:space="0" w:color="auto"/>
              <w:right w:val="single" w:sz="4" w:space="0" w:color="auto"/>
            </w:tcBorders>
            <w:shd w:val="clear" w:color="auto" w:fill="auto"/>
            <w:noWrap/>
            <w:vAlign w:val="bottom"/>
            <w:hideMark/>
          </w:tcPr>
          <w:p w14:paraId="6CBDD73D"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92,69%</w:t>
            </w:r>
          </w:p>
        </w:tc>
        <w:tc>
          <w:tcPr>
            <w:tcW w:w="1053" w:type="dxa"/>
            <w:tcBorders>
              <w:top w:val="nil"/>
              <w:left w:val="nil"/>
              <w:bottom w:val="single" w:sz="4" w:space="0" w:color="auto"/>
              <w:right w:val="single" w:sz="12" w:space="0" w:color="auto"/>
            </w:tcBorders>
            <w:shd w:val="clear" w:color="auto" w:fill="auto"/>
            <w:noWrap/>
            <w:vAlign w:val="bottom"/>
            <w:hideMark/>
          </w:tcPr>
          <w:p w14:paraId="49F73C37"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96,29%</w:t>
            </w:r>
          </w:p>
        </w:tc>
      </w:tr>
      <w:tr w:rsidR="00F97CD9" w:rsidRPr="00A04D08" w14:paraId="550CCE82" w14:textId="77777777" w:rsidTr="0016196E">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7295765A" w14:textId="74FB2079" w:rsidR="00F97CD9" w:rsidRPr="00F97CD9" w:rsidRDefault="00F97CD9" w:rsidP="0073245C">
            <w:pPr>
              <w:keepNext/>
              <w:spacing w:line="240" w:lineRule="auto"/>
              <w:ind w:firstLine="0"/>
              <w:jc w:val="left"/>
              <w:rPr>
                <w:rFonts w:ascii="Calibri" w:eastAsia="Times New Roman" w:hAnsi="Calibri" w:cs="Times New Roman"/>
                <w:color w:val="000000"/>
                <w:sz w:val="22"/>
              </w:rPr>
            </w:pPr>
            <w:r w:rsidRPr="00F97CD9">
              <w:rPr>
                <w:rFonts w:asciiTheme="minorHAnsi" w:eastAsia="Times New Roman" w:hAnsiTheme="minorHAnsi" w:cs="ＭＳ ゴシック"/>
                <w:bCs/>
                <w:color w:val="000000"/>
                <w:sz w:val="22"/>
              </w:rPr>
              <w:t xml:space="preserve">Knihy v </w:t>
            </w:r>
            <w:r w:rsidR="0073245C">
              <w:rPr>
                <w:rFonts w:asciiTheme="minorHAnsi" w:eastAsia="Times New Roman" w:hAnsiTheme="minorHAnsi" w:cs="ＭＳ ゴシック"/>
                <w:bCs/>
                <w:color w:val="000000"/>
                <w:sz w:val="22"/>
              </w:rPr>
              <w:t>knihovnách</w:t>
            </w:r>
          </w:p>
        </w:tc>
        <w:tc>
          <w:tcPr>
            <w:tcW w:w="1240" w:type="dxa"/>
            <w:tcBorders>
              <w:top w:val="nil"/>
              <w:left w:val="nil"/>
              <w:bottom w:val="single" w:sz="4" w:space="0" w:color="auto"/>
              <w:right w:val="single" w:sz="4" w:space="0" w:color="auto"/>
            </w:tcBorders>
            <w:shd w:val="clear" w:color="auto" w:fill="auto"/>
            <w:noWrap/>
            <w:vAlign w:val="bottom"/>
            <w:hideMark/>
          </w:tcPr>
          <w:p w14:paraId="6AEA61CA"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92,34%</w:t>
            </w:r>
          </w:p>
        </w:tc>
        <w:tc>
          <w:tcPr>
            <w:tcW w:w="1027" w:type="dxa"/>
            <w:tcBorders>
              <w:top w:val="nil"/>
              <w:left w:val="nil"/>
              <w:bottom w:val="single" w:sz="4" w:space="0" w:color="auto"/>
              <w:right w:val="single" w:sz="4" w:space="0" w:color="auto"/>
            </w:tcBorders>
            <w:shd w:val="clear" w:color="auto" w:fill="auto"/>
            <w:noWrap/>
            <w:vAlign w:val="bottom"/>
            <w:hideMark/>
          </w:tcPr>
          <w:p w14:paraId="3CB66F67"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91,05%</w:t>
            </w:r>
          </w:p>
        </w:tc>
        <w:tc>
          <w:tcPr>
            <w:tcW w:w="1053" w:type="dxa"/>
            <w:tcBorders>
              <w:top w:val="nil"/>
              <w:left w:val="nil"/>
              <w:bottom w:val="single" w:sz="4" w:space="0" w:color="auto"/>
              <w:right w:val="single" w:sz="12" w:space="0" w:color="auto"/>
            </w:tcBorders>
            <w:shd w:val="clear" w:color="auto" w:fill="auto"/>
            <w:noWrap/>
            <w:vAlign w:val="bottom"/>
            <w:hideMark/>
          </w:tcPr>
          <w:p w14:paraId="3DDCA759"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93,47%</w:t>
            </w:r>
          </w:p>
        </w:tc>
      </w:tr>
      <w:tr w:rsidR="00F97CD9" w:rsidRPr="00A04D08" w14:paraId="639D018C" w14:textId="77777777" w:rsidTr="0016196E">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675B2E83" w14:textId="485112A5" w:rsidR="00F97CD9" w:rsidRPr="00A04D08" w:rsidRDefault="00F97CD9" w:rsidP="00F97CD9">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blogy</w:t>
            </w:r>
          </w:p>
        </w:tc>
        <w:tc>
          <w:tcPr>
            <w:tcW w:w="1240" w:type="dxa"/>
            <w:tcBorders>
              <w:top w:val="nil"/>
              <w:left w:val="nil"/>
              <w:bottom w:val="single" w:sz="4" w:space="0" w:color="auto"/>
              <w:right w:val="single" w:sz="4" w:space="0" w:color="auto"/>
            </w:tcBorders>
            <w:shd w:val="clear" w:color="auto" w:fill="auto"/>
            <w:noWrap/>
            <w:vAlign w:val="bottom"/>
            <w:hideMark/>
          </w:tcPr>
          <w:p w14:paraId="301436E6"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88,14%</w:t>
            </w:r>
          </w:p>
        </w:tc>
        <w:tc>
          <w:tcPr>
            <w:tcW w:w="1027" w:type="dxa"/>
            <w:tcBorders>
              <w:top w:val="nil"/>
              <w:left w:val="nil"/>
              <w:bottom w:val="single" w:sz="4" w:space="0" w:color="auto"/>
              <w:right w:val="single" w:sz="4" w:space="0" w:color="auto"/>
            </w:tcBorders>
            <w:shd w:val="clear" w:color="auto" w:fill="auto"/>
            <w:noWrap/>
            <w:vAlign w:val="bottom"/>
            <w:hideMark/>
          </w:tcPr>
          <w:p w14:paraId="128AF132"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85,66%</w:t>
            </w:r>
          </w:p>
        </w:tc>
        <w:tc>
          <w:tcPr>
            <w:tcW w:w="1053" w:type="dxa"/>
            <w:tcBorders>
              <w:top w:val="nil"/>
              <w:left w:val="nil"/>
              <w:bottom w:val="single" w:sz="4" w:space="0" w:color="auto"/>
              <w:right w:val="single" w:sz="12" w:space="0" w:color="auto"/>
            </w:tcBorders>
            <w:shd w:val="clear" w:color="auto" w:fill="auto"/>
            <w:noWrap/>
            <w:vAlign w:val="bottom"/>
            <w:hideMark/>
          </w:tcPr>
          <w:p w14:paraId="7753C442"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90,27%</w:t>
            </w:r>
          </w:p>
        </w:tc>
      </w:tr>
      <w:tr w:rsidR="00F97CD9" w:rsidRPr="00A04D08" w14:paraId="2ECF0937" w14:textId="77777777" w:rsidTr="0016196E">
        <w:trPr>
          <w:cantSplit/>
          <w:trHeight w:val="300"/>
        </w:trPr>
        <w:tc>
          <w:tcPr>
            <w:tcW w:w="2800" w:type="dxa"/>
            <w:tcBorders>
              <w:top w:val="nil"/>
              <w:left w:val="single" w:sz="12" w:space="0" w:color="auto"/>
              <w:bottom w:val="single" w:sz="4" w:space="0" w:color="auto"/>
              <w:right w:val="single" w:sz="4" w:space="0" w:color="auto"/>
            </w:tcBorders>
            <w:shd w:val="clear" w:color="000000" w:fill="FF7C80"/>
            <w:noWrap/>
            <w:vAlign w:val="bottom"/>
            <w:hideMark/>
          </w:tcPr>
          <w:p w14:paraId="19515584" w14:textId="1B9CF2F1" w:rsidR="00F97CD9" w:rsidRPr="00A04D08" w:rsidRDefault="00F97CD9" w:rsidP="00F97CD9">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bestselery</w:t>
            </w:r>
          </w:p>
        </w:tc>
        <w:tc>
          <w:tcPr>
            <w:tcW w:w="1240" w:type="dxa"/>
            <w:tcBorders>
              <w:top w:val="nil"/>
              <w:left w:val="nil"/>
              <w:bottom w:val="single" w:sz="4" w:space="0" w:color="auto"/>
              <w:right w:val="single" w:sz="4" w:space="0" w:color="auto"/>
            </w:tcBorders>
            <w:shd w:val="clear" w:color="000000" w:fill="FF7C80"/>
            <w:noWrap/>
            <w:vAlign w:val="bottom"/>
            <w:hideMark/>
          </w:tcPr>
          <w:p w14:paraId="604A73E1"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91,16%</w:t>
            </w:r>
          </w:p>
        </w:tc>
        <w:tc>
          <w:tcPr>
            <w:tcW w:w="1027" w:type="dxa"/>
            <w:tcBorders>
              <w:top w:val="nil"/>
              <w:left w:val="nil"/>
              <w:bottom w:val="single" w:sz="4" w:space="0" w:color="auto"/>
              <w:right w:val="single" w:sz="4" w:space="0" w:color="auto"/>
            </w:tcBorders>
            <w:shd w:val="clear" w:color="000000" w:fill="FF7C80"/>
            <w:noWrap/>
            <w:vAlign w:val="bottom"/>
            <w:hideMark/>
          </w:tcPr>
          <w:p w14:paraId="234C7128"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88,82%</w:t>
            </w:r>
          </w:p>
        </w:tc>
        <w:tc>
          <w:tcPr>
            <w:tcW w:w="1053" w:type="dxa"/>
            <w:tcBorders>
              <w:top w:val="nil"/>
              <w:left w:val="nil"/>
              <w:bottom w:val="single" w:sz="4" w:space="0" w:color="auto"/>
              <w:right w:val="single" w:sz="12" w:space="0" w:color="auto"/>
            </w:tcBorders>
            <w:shd w:val="clear" w:color="000000" w:fill="FF7C80"/>
            <w:noWrap/>
            <w:vAlign w:val="bottom"/>
            <w:hideMark/>
          </w:tcPr>
          <w:p w14:paraId="469DCD05"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93,10%</w:t>
            </w:r>
          </w:p>
        </w:tc>
      </w:tr>
      <w:tr w:rsidR="00F97CD9" w:rsidRPr="00A04D08" w14:paraId="789EAC52" w14:textId="77777777" w:rsidTr="0016196E">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57A158FF" w14:textId="5988011D" w:rsidR="00F97CD9" w:rsidRPr="00A04D08" w:rsidRDefault="00F97CD9" w:rsidP="00F97CD9">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vládní jednání</w:t>
            </w:r>
          </w:p>
        </w:tc>
        <w:tc>
          <w:tcPr>
            <w:tcW w:w="1240" w:type="dxa"/>
            <w:tcBorders>
              <w:top w:val="nil"/>
              <w:left w:val="nil"/>
              <w:bottom w:val="single" w:sz="4" w:space="0" w:color="auto"/>
              <w:right w:val="single" w:sz="4" w:space="0" w:color="auto"/>
            </w:tcBorders>
            <w:shd w:val="clear" w:color="auto" w:fill="auto"/>
            <w:noWrap/>
            <w:vAlign w:val="bottom"/>
            <w:hideMark/>
          </w:tcPr>
          <w:p w14:paraId="63E01C8E"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99,18%</w:t>
            </w:r>
          </w:p>
        </w:tc>
        <w:tc>
          <w:tcPr>
            <w:tcW w:w="1027" w:type="dxa"/>
            <w:tcBorders>
              <w:top w:val="nil"/>
              <w:left w:val="nil"/>
              <w:bottom w:val="single" w:sz="4" w:space="0" w:color="auto"/>
              <w:right w:val="single" w:sz="4" w:space="0" w:color="auto"/>
            </w:tcBorders>
            <w:shd w:val="clear" w:color="auto" w:fill="auto"/>
            <w:noWrap/>
            <w:vAlign w:val="bottom"/>
            <w:hideMark/>
          </w:tcPr>
          <w:p w14:paraId="27B45F56"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98,36%</w:t>
            </w:r>
          </w:p>
        </w:tc>
        <w:tc>
          <w:tcPr>
            <w:tcW w:w="1053" w:type="dxa"/>
            <w:tcBorders>
              <w:top w:val="nil"/>
              <w:left w:val="nil"/>
              <w:bottom w:val="single" w:sz="4" w:space="0" w:color="auto"/>
              <w:right w:val="single" w:sz="12" w:space="0" w:color="auto"/>
            </w:tcBorders>
            <w:shd w:val="clear" w:color="auto" w:fill="auto"/>
            <w:noWrap/>
            <w:vAlign w:val="bottom"/>
            <w:hideMark/>
          </w:tcPr>
          <w:p w14:paraId="4DBA215C"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99,65%</w:t>
            </w:r>
          </w:p>
        </w:tc>
      </w:tr>
      <w:tr w:rsidR="00F97CD9" w:rsidRPr="00A04D08" w14:paraId="70545536" w14:textId="77777777" w:rsidTr="0016196E">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7A45C730" w14:textId="735D0FC0" w:rsidR="00F97CD9" w:rsidRPr="00A04D08" w:rsidRDefault="00F97CD9" w:rsidP="00F97CD9">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1"/>
                <w:szCs w:val="21"/>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1"/>
                <w:szCs w:val="21"/>
              </w:rPr>
              <w:t>informační bulletiny</w:t>
            </w:r>
          </w:p>
        </w:tc>
        <w:tc>
          <w:tcPr>
            <w:tcW w:w="1240" w:type="dxa"/>
            <w:tcBorders>
              <w:top w:val="nil"/>
              <w:left w:val="nil"/>
              <w:bottom w:val="single" w:sz="4" w:space="0" w:color="auto"/>
              <w:right w:val="single" w:sz="4" w:space="0" w:color="auto"/>
            </w:tcBorders>
            <w:shd w:val="clear" w:color="auto" w:fill="auto"/>
            <w:noWrap/>
            <w:vAlign w:val="bottom"/>
            <w:hideMark/>
          </w:tcPr>
          <w:p w14:paraId="61F770F3"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95,95%</w:t>
            </w:r>
          </w:p>
        </w:tc>
        <w:tc>
          <w:tcPr>
            <w:tcW w:w="1027" w:type="dxa"/>
            <w:tcBorders>
              <w:top w:val="nil"/>
              <w:left w:val="nil"/>
              <w:bottom w:val="single" w:sz="4" w:space="0" w:color="auto"/>
              <w:right w:val="single" w:sz="4" w:space="0" w:color="auto"/>
            </w:tcBorders>
            <w:shd w:val="clear" w:color="auto" w:fill="auto"/>
            <w:noWrap/>
            <w:vAlign w:val="bottom"/>
            <w:hideMark/>
          </w:tcPr>
          <w:p w14:paraId="6CB5057F"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93,72%</w:t>
            </w:r>
          </w:p>
        </w:tc>
        <w:tc>
          <w:tcPr>
            <w:tcW w:w="1053" w:type="dxa"/>
            <w:tcBorders>
              <w:top w:val="nil"/>
              <w:left w:val="nil"/>
              <w:bottom w:val="single" w:sz="4" w:space="0" w:color="auto"/>
              <w:right w:val="single" w:sz="12" w:space="0" w:color="auto"/>
            </w:tcBorders>
            <w:shd w:val="clear" w:color="auto" w:fill="auto"/>
            <w:noWrap/>
            <w:vAlign w:val="bottom"/>
            <w:hideMark/>
          </w:tcPr>
          <w:p w14:paraId="77A0D690"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97,54%</w:t>
            </w:r>
          </w:p>
        </w:tc>
      </w:tr>
      <w:tr w:rsidR="00F97CD9" w:rsidRPr="00A04D08" w14:paraId="0855232E" w14:textId="77777777" w:rsidTr="0016196E">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6E55DF0B" w14:textId="2147ADDC" w:rsidR="00F97CD9" w:rsidRPr="00A04D08" w:rsidRDefault="00F97CD9" w:rsidP="00F97CD9">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učebnice</w:t>
            </w:r>
          </w:p>
        </w:tc>
        <w:tc>
          <w:tcPr>
            <w:tcW w:w="1240" w:type="dxa"/>
            <w:tcBorders>
              <w:top w:val="nil"/>
              <w:left w:val="nil"/>
              <w:bottom w:val="single" w:sz="4" w:space="0" w:color="auto"/>
              <w:right w:val="single" w:sz="4" w:space="0" w:color="auto"/>
            </w:tcBorders>
            <w:shd w:val="clear" w:color="auto" w:fill="auto"/>
            <w:noWrap/>
            <w:vAlign w:val="bottom"/>
            <w:hideMark/>
          </w:tcPr>
          <w:p w14:paraId="6F5A8E85"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95,89%</w:t>
            </w:r>
          </w:p>
        </w:tc>
        <w:tc>
          <w:tcPr>
            <w:tcW w:w="1027" w:type="dxa"/>
            <w:tcBorders>
              <w:top w:val="nil"/>
              <w:left w:val="nil"/>
              <w:bottom w:val="single" w:sz="4" w:space="0" w:color="auto"/>
              <w:right w:val="single" w:sz="4" w:space="0" w:color="auto"/>
            </w:tcBorders>
            <w:shd w:val="clear" w:color="auto" w:fill="auto"/>
            <w:noWrap/>
            <w:vAlign w:val="bottom"/>
            <w:hideMark/>
          </w:tcPr>
          <w:p w14:paraId="001A8951"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92,38%</w:t>
            </w:r>
          </w:p>
        </w:tc>
        <w:tc>
          <w:tcPr>
            <w:tcW w:w="1053" w:type="dxa"/>
            <w:tcBorders>
              <w:top w:val="nil"/>
              <w:left w:val="nil"/>
              <w:bottom w:val="single" w:sz="4" w:space="0" w:color="auto"/>
              <w:right w:val="single" w:sz="12" w:space="0" w:color="auto"/>
            </w:tcBorders>
            <w:shd w:val="clear" w:color="auto" w:fill="auto"/>
            <w:noWrap/>
            <w:vAlign w:val="bottom"/>
            <w:hideMark/>
          </w:tcPr>
          <w:p w14:paraId="1512ABCA"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98,06%</w:t>
            </w:r>
          </w:p>
        </w:tc>
      </w:tr>
      <w:tr w:rsidR="00F97CD9" w:rsidRPr="00A04D08" w14:paraId="2C0CFE08" w14:textId="77777777" w:rsidTr="0016196E">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45333F6F" w14:textId="00311C4E" w:rsidR="00F97CD9" w:rsidRPr="00A04D08" w:rsidRDefault="00F97CD9" w:rsidP="00F97CD9">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00804DA0">
              <w:rPr>
                <w:rFonts w:asciiTheme="minorHAnsi" w:eastAsia="Times New Roman" w:hAnsiTheme="minorHAnsi" w:cs="ＭＳ ゴシック"/>
                <w:color w:val="000000"/>
                <w:sz w:val="22"/>
              </w:rPr>
              <w:t>zákoníky</w:t>
            </w:r>
          </w:p>
        </w:tc>
        <w:tc>
          <w:tcPr>
            <w:tcW w:w="1240" w:type="dxa"/>
            <w:tcBorders>
              <w:top w:val="nil"/>
              <w:left w:val="nil"/>
              <w:bottom w:val="single" w:sz="4" w:space="0" w:color="auto"/>
              <w:right w:val="single" w:sz="4" w:space="0" w:color="auto"/>
            </w:tcBorders>
            <w:shd w:val="clear" w:color="auto" w:fill="auto"/>
            <w:noWrap/>
            <w:vAlign w:val="bottom"/>
            <w:hideMark/>
          </w:tcPr>
          <w:p w14:paraId="5A15594D"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99,26%</w:t>
            </w:r>
          </w:p>
        </w:tc>
        <w:tc>
          <w:tcPr>
            <w:tcW w:w="1027" w:type="dxa"/>
            <w:tcBorders>
              <w:top w:val="nil"/>
              <w:left w:val="nil"/>
              <w:bottom w:val="single" w:sz="4" w:space="0" w:color="auto"/>
              <w:right w:val="single" w:sz="4" w:space="0" w:color="auto"/>
            </w:tcBorders>
            <w:shd w:val="clear" w:color="auto" w:fill="auto"/>
            <w:noWrap/>
            <w:vAlign w:val="bottom"/>
            <w:hideMark/>
          </w:tcPr>
          <w:p w14:paraId="000FB213"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98,29%</w:t>
            </w:r>
          </w:p>
        </w:tc>
        <w:tc>
          <w:tcPr>
            <w:tcW w:w="1053" w:type="dxa"/>
            <w:tcBorders>
              <w:top w:val="nil"/>
              <w:left w:val="nil"/>
              <w:bottom w:val="single" w:sz="4" w:space="0" w:color="auto"/>
              <w:right w:val="single" w:sz="12" w:space="0" w:color="auto"/>
            </w:tcBorders>
            <w:shd w:val="clear" w:color="auto" w:fill="auto"/>
            <w:noWrap/>
            <w:vAlign w:val="bottom"/>
            <w:hideMark/>
          </w:tcPr>
          <w:p w14:paraId="752F20DF"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99,75%</w:t>
            </w:r>
          </w:p>
        </w:tc>
      </w:tr>
      <w:tr w:rsidR="00F97CD9" w:rsidRPr="00A04D08" w14:paraId="46B9AFEA" w14:textId="77777777" w:rsidTr="0016196E">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097A3321" w14:textId="532AB180" w:rsidR="00F97CD9" w:rsidRPr="00A04D08" w:rsidRDefault="00F97CD9" w:rsidP="00F97CD9">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vládní zprávy</w:t>
            </w:r>
          </w:p>
        </w:tc>
        <w:tc>
          <w:tcPr>
            <w:tcW w:w="1240" w:type="dxa"/>
            <w:tcBorders>
              <w:top w:val="nil"/>
              <w:left w:val="nil"/>
              <w:bottom w:val="single" w:sz="4" w:space="0" w:color="auto"/>
              <w:right w:val="single" w:sz="4" w:space="0" w:color="auto"/>
            </w:tcBorders>
            <w:shd w:val="clear" w:color="auto" w:fill="auto"/>
            <w:noWrap/>
            <w:vAlign w:val="bottom"/>
            <w:hideMark/>
          </w:tcPr>
          <w:p w14:paraId="300831A3"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99,05%</w:t>
            </w:r>
          </w:p>
        </w:tc>
        <w:tc>
          <w:tcPr>
            <w:tcW w:w="1027" w:type="dxa"/>
            <w:tcBorders>
              <w:top w:val="nil"/>
              <w:left w:val="nil"/>
              <w:bottom w:val="single" w:sz="4" w:space="0" w:color="auto"/>
              <w:right w:val="single" w:sz="4" w:space="0" w:color="auto"/>
            </w:tcBorders>
            <w:shd w:val="clear" w:color="auto" w:fill="auto"/>
            <w:noWrap/>
            <w:vAlign w:val="bottom"/>
            <w:hideMark/>
          </w:tcPr>
          <w:p w14:paraId="4564F9FB"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98,55%</w:t>
            </w:r>
          </w:p>
        </w:tc>
        <w:tc>
          <w:tcPr>
            <w:tcW w:w="1053" w:type="dxa"/>
            <w:tcBorders>
              <w:top w:val="nil"/>
              <w:left w:val="nil"/>
              <w:bottom w:val="single" w:sz="4" w:space="0" w:color="auto"/>
              <w:right w:val="single" w:sz="12" w:space="0" w:color="auto"/>
            </w:tcBorders>
            <w:shd w:val="clear" w:color="auto" w:fill="auto"/>
            <w:noWrap/>
            <w:vAlign w:val="bottom"/>
            <w:hideMark/>
          </w:tcPr>
          <w:p w14:paraId="4DD6DBC3"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99,41%</w:t>
            </w:r>
          </w:p>
        </w:tc>
      </w:tr>
      <w:tr w:rsidR="00F97CD9" w:rsidRPr="00A04D08" w14:paraId="781C1350" w14:textId="77777777" w:rsidTr="0016196E">
        <w:trPr>
          <w:cantSplit/>
          <w:trHeight w:val="300"/>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14:paraId="5C9E894F" w14:textId="18580E2F" w:rsidR="00F97CD9" w:rsidRPr="00A04D08" w:rsidRDefault="00F97CD9" w:rsidP="00F97CD9">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Čiebukuro</w:t>
            </w:r>
          </w:p>
        </w:tc>
        <w:tc>
          <w:tcPr>
            <w:tcW w:w="1240" w:type="dxa"/>
            <w:tcBorders>
              <w:top w:val="nil"/>
              <w:left w:val="nil"/>
              <w:bottom w:val="single" w:sz="4" w:space="0" w:color="auto"/>
              <w:right w:val="single" w:sz="4" w:space="0" w:color="auto"/>
            </w:tcBorders>
            <w:shd w:val="clear" w:color="auto" w:fill="auto"/>
            <w:noWrap/>
            <w:vAlign w:val="bottom"/>
            <w:hideMark/>
          </w:tcPr>
          <w:p w14:paraId="49068BB7"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88,23%</w:t>
            </w:r>
          </w:p>
        </w:tc>
        <w:tc>
          <w:tcPr>
            <w:tcW w:w="1027" w:type="dxa"/>
            <w:tcBorders>
              <w:top w:val="nil"/>
              <w:left w:val="nil"/>
              <w:bottom w:val="single" w:sz="4" w:space="0" w:color="auto"/>
              <w:right w:val="single" w:sz="4" w:space="0" w:color="auto"/>
            </w:tcBorders>
            <w:shd w:val="clear" w:color="auto" w:fill="auto"/>
            <w:noWrap/>
            <w:vAlign w:val="bottom"/>
            <w:hideMark/>
          </w:tcPr>
          <w:p w14:paraId="1B2ADA87"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85,76%</w:t>
            </w:r>
          </w:p>
        </w:tc>
        <w:tc>
          <w:tcPr>
            <w:tcW w:w="1053" w:type="dxa"/>
            <w:tcBorders>
              <w:top w:val="nil"/>
              <w:left w:val="nil"/>
              <w:bottom w:val="single" w:sz="4" w:space="0" w:color="auto"/>
              <w:right w:val="single" w:sz="12" w:space="0" w:color="auto"/>
            </w:tcBorders>
            <w:shd w:val="clear" w:color="auto" w:fill="auto"/>
            <w:noWrap/>
            <w:vAlign w:val="bottom"/>
            <w:hideMark/>
          </w:tcPr>
          <w:p w14:paraId="560E27DC"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90,36%</w:t>
            </w:r>
          </w:p>
        </w:tc>
      </w:tr>
      <w:tr w:rsidR="00F97CD9" w:rsidRPr="00A04D08" w14:paraId="0FF72494" w14:textId="77777777" w:rsidTr="0016196E">
        <w:trPr>
          <w:cantSplit/>
          <w:trHeight w:val="315"/>
        </w:trPr>
        <w:tc>
          <w:tcPr>
            <w:tcW w:w="2800" w:type="dxa"/>
            <w:tcBorders>
              <w:top w:val="nil"/>
              <w:left w:val="single" w:sz="12" w:space="0" w:color="auto"/>
              <w:bottom w:val="single" w:sz="12" w:space="0" w:color="auto"/>
              <w:right w:val="single" w:sz="4" w:space="0" w:color="auto"/>
            </w:tcBorders>
            <w:shd w:val="clear" w:color="000000" w:fill="FF7C80"/>
            <w:noWrap/>
            <w:vAlign w:val="bottom"/>
            <w:hideMark/>
          </w:tcPr>
          <w:p w14:paraId="681DCF95" w14:textId="72960466" w:rsidR="00F97CD9" w:rsidRPr="00A04D08" w:rsidRDefault="00F97CD9" w:rsidP="00F97CD9">
            <w:pPr>
              <w:keepNext/>
              <w:spacing w:line="240" w:lineRule="auto"/>
              <w:ind w:firstLine="0"/>
              <w:jc w:val="left"/>
              <w:rPr>
                <w:rFonts w:ascii="Calibri" w:eastAsia="Times New Roman" w:hAnsi="Calibri" w:cs="Times New Roman"/>
                <w:color w:val="000000"/>
                <w:sz w:val="22"/>
              </w:rPr>
            </w:pPr>
            <w:r w:rsidRPr="00E33A61">
              <w:rPr>
                <w:rFonts w:asciiTheme="minorHAnsi" w:eastAsia="Times New Roman" w:hAnsiTheme="minorHAnsi" w:cs="ＭＳ ゴシック"/>
                <w:bCs/>
                <w:color w:val="000000"/>
                <w:sz w:val="22"/>
              </w:rPr>
              <w:t>Ostatní</w:t>
            </w:r>
            <w:r>
              <w:rPr>
                <w:rFonts w:asciiTheme="minorHAnsi" w:eastAsia="Times New Roman" w:hAnsiTheme="minorHAnsi" w:cs="ＭＳ ゴシック"/>
                <w:color w:val="000000"/>
                <w:sz w:val="22"/>
              </w:rPr>
              <w:t xml:space="preserve"> - </w:t>
            </w:r>
            <w:r w:rsidRPr="00E33A61">
              <w:rPr>
                <w:rFonts w:asciiTheme="minorHAnsi" w:eastAsia="Times New Roman" w:hAnsiTheme="minorHAnsi" w:cs="ＭＳ ゴシック"/>
                <w:color w:val="000000"/>
                <w:sz w:val="22"/>
              </w:rPr>
              <w:t>verše</w:t>
            </w:r>
          </w:p>
        </w:tc>
        <w:tc>
          <w:tcPr>
            <w:tcW w:w="1240" w:type="dxa"/>
            <w:tcBorders>
              <w:top w:val="nil"/>
              <w:left w:val="nil"/>
              <w:bottom w:val="single" w:sz="12" w:space="0" w:color="auto"/>
              <w:right w:val="single" w:sz="4" w:space="0" w:color="auto"/>
            </w:tcBorders>
            <w:shd w:val="clear" w:color="000000" w:fill="FF7C80"/>
            <w:noWrap/>
            <w:vAlign w:val="bottom"/>
            <w:hideMark/>
          </w:tcPr>
          <w:p w14:paraId="5AB17A24"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92,19%</w:t>
            </w:r>
          </w:p>
        </w:tc>
        <w:tc>
          <w:tcPr>
            <w:tcW w:w="1027" w:type="dxa"/>
            <w:tcBorders>
              <w:top w:val="nil"/>
              <w:left w:val="nil"/>
              <w:bottom w:val="single" w:sz="12" w:space="0" w:color="auto"/>
              <w:right w:val="single" w:sz="4" w:space="0" w:color="auto"/>
            </w:tcBorders>
            <w:shd w:val="clear" w:color="000000" w:fill="FF7C80"/>
            <w:noWrap/>
            <w:vAlign w:val="bottom"/>
            <w:hideMark/>
          </w:tcPr>
          <w:p w14:paraId="65A7B04F"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82,93%</w:t>
            </w:r>
          </w:p>
        </w:tc>
        <w:tc>
          <w:tcPr>
            <w:tcW w:w="1053" w:type="dxa"/>
            <w:tcBorders>
              <w:top w:val="nil"/>
              <w:left w:val="nil"/>
              <w:bottom w:val="single" w:sz="12" w:space="0" w:color="auto"/>
              <w:right w:val="single" w:sz="12" w:space="0" w:color="auto"/>
            </w:tcBorders>
            <w:shd w:val="clear" w:color="000000" w:fill="FF7C80"/>
            <w:noWrap/>
            <w:vAlign w:val="bottom"/>
            <w:hideMark/>
          </w:tcPr>
          <w:p w14:paraId="6D23C2DA" w14:textId="77777777" w:rsidR="00F97CD9" w:rsidRPr="00A04D08" w:rsidRDefault="00F97CD9" w:rsidP="00F97CD9">
            <w:pPr>
              <w:keepNext/>
              <w:spacing w:line="240" w:lineRule="auto"/>
              <w:ind w:firstLine="0"/>
              <w:jc w:val="right"/>
              <w:rPr>
                <w:rFonts w:ascii="Calibri" w:eastAsia="Times New Roman" w:hAnsi="Calibri" w:cs="Times New Roman"/>
                <w:color w:val="000000"/>
                <w:sz w:val="22"/>
              </w:rPr>
            </w:pPr>
            <w:r w:rsidRPr="00A04D08">
              <w:rPr>
                <w:rFonts w:ascii="Calibri" w:eastAsia="Times New Roman" w:hAnsi="Calibri" w:cs="Times New Roman"/>
                <w:color w:val="000000"/>
                <w:sz w:val="22"/>
              </w:rPr>
              <w:t>97,33%</w:t>
            </w:r>
          </w:p>
        </w:tc>
      </w:tr>
    </w:tbl>
    <w:p w14:paraId="1742ED27" w14:textId="54703B1A" w:rsidR="00A04D08" w:rsidRPr="009234CF" w:rsidRDefault="00A04D08" w:rsidP="00A04D08">
      <w:pPr>
        <w:pStyle w:val="Titulek"/>
      </w:pPr>
      <w:r>
        <w:t xml:space="preserve">Tabulka </w:t>
      </w:r>
      <w:r w:rsidR="00E52248">
        <w:rPr>
          <w:noProof/>
        </w:rPr>
        <w:fldChar w:fldCharType="begin"/>
      </w:r>
      <w:r w:rsidR="00E52248">
        <w:rPr>
          <w:noProof/>
        </w:rPr>
        <w:instrText xml:space="preserve"> SEQ Tabulka \* ARABIC </w:instrText>
      </w:r>
      <w:r w:rsidR="00E52248">
        <w:rPr>
          <w:noProof/>
        </w:rPr>
        <w:fldChar w:fldCharType="separate"/>
      </w:r>
      <w:r w:rsidR="0061476C">
        <w:rPr>
          <w:noProof/>
        </w:rPr>
        <w:t>5</w:t>
      </w:r>
      <w:r w:rsidR="00E52248">
        <w:rPr>
          <w:noProof/>
        </w:rPr>
        <w:fldChar w:fldCharType="end"/>
      </w:r>
      <w:r>
        <w:t>: Podíly kany ve vzorku a intervaly spolehlivosti na hladině významnosti 95% (</w:t>
      </w:r>
      <w:r w:rsidR="008169E0">
        <w:t>NINJAL 2009</w:t>
      </w:r>
      <w:r>
        <w:t>, Brezina 2018)</w:t>
      </w:r>
    </w:p>
    <w:p w14:paraId="2BE0AABF" w14:textId="62154410" w:rsidR="00E30926" w:rsidRDefault="00E30926" w:rsidP="00E30926"/>
    <w:p w14:paraId="65033933" w14:textId="52C8BF04" w:rsidR="00FD3D2D" w:rsidRDefault="00144159" w:rsidP="00144159">
      <w:pPr>
        <w:pStyle w:val="Nadpis2"/>
        <w:numPr>
          <w:ilvl w:val="1"/>
          <w:numId w:val="3"/>
        </w:numPr>
      </w:pPr>
      <w:bookmarkStart w:id="11" w:name="_Toc12836418"/>
      <w:r>
        <w:lastRenderedPageBreak/>
        <w:t>Souhrn</w:t>
      </w:r>
      <w:bookmarkEnd w:id="11"/>
    </w:p>
    <w:p w14:paraId="47B6553C" w14:textId="660ECEBA" w:rsidR="00C8004A" w:rsidRDefault="00C8004A" w:rsidP="00C8004A">
      <w:pPr>
        <w:pStyle w:val="Bezmezer"/>
      </w:pPr>
      <w:r>
        <w:t xml:space="preserve">Na základě provedené analýzy bylo určeno několik </w:t>
      </w:r>
      <w:r w:rsidR="00414F86">
        <w:t>faktů</w:t>
      </w:r>
      <w:r>
        <w:t>, které lze o ortografické variabilitě pomocného podstatného jména uči zkonstatovat.</w:t>
      </w:r>
    </w:p>
    <w:p w14:paraId="51767E44" w14:textId="1CA01EC3" w:rsidR="00066F5C" w:rsidRDefault="00C8004A" w:rsidP="00066F5C">
      <w:r>
        <w:t>Uči je gramatikalizovaný zástupce pomocných podstatných jmen s předložkovým užitím.</w:t>
      </w:r>
      <w:r w:rsidR="002D18BB">
        <w:t xml:space="preserve"> D</w:t>
      </w:r>
      <w:r w:rsidR="00DE6C7D">
        <w:t xml:space="preserve">ominantním způsobem zápisu je hiragana a naopak zápis katakanou je pouze okrajový. Podíl zápisu znakem </w:t>
      </w:r>
      <w:r w:rsidR="00414F86">
        <w:t>má</w:t>
      </w:r>
      <w:r w:rsidR="00513C0B">
        <w:t xml:space="preserve"> celokorpusový průměr je </w:t>
      </w:r>
      <w:r w:rsidR="00513C0B" w:rsidRPr="00513C0B">
        <w:t>7,42%</w:t>
      </w:r>
      <w:r w:rsidR="00513C0B">
        <w:t>. Doplněk do 100% připadá na zápis kanou.</w:t>
      </w:r>
    </w:p>
    <w:p w14:paraId="5E781A22" w14:textId="4E9AF6C9" w:rsidR="00213C7E" w:rsidRPr="00802E40" w:rsidRDefault="00CB42D3" w:rsidP="00802E40">
      <w:r>
        <w:t xml:space="preserve">Vliv subkorpusů je statisticky významný. Jinými slovy, mezi jednotlivými subkorpusy jsou statisticky významné rozdíly. </w:t>
      </w:r>
      <w:r w:rsidR="00F53D5F">
        <w:t>Byly určeny následující subkorpusy, které jsou nějakým způsobem odlišné:</w:t>
      </w:r>
      <w:r w:rsidR="00F45E52" w:rsidRPr="00F45E52">
        <w:t xml:space="preserve"> </w:t>
      </w:r>
      <w:r w:rsidR="00F45E52" w:rsidRPr="00F45E52">
        <w:rPr>
          <w:i/>
        </w:rPr>
        <w:t>Ostatní - blogy</w:t>
      </w:r>
      <w:r w:rsidR="00F53D5F">
        <w:rPr>
          <w:rFonts w:hint="eastAsia"/>
        </w:rPr>
        <w:t xml:space="preserve"> a</w:t>
      </w:r>
      <w:r w:rsidR="00F45E52" w:rsidRPr="00F45E52">
        <w:t xml:space="preserve"> </w:t>
      </w:r>
      <w:r w:rsidR="00F45E52" w:rsidRPr="00F45E52">
        <w:rPr>
          <w:i/>
        </w:rPr>
        <w:t>Ostatní - Čiebukuro</w:t>
      </w:r>
      <w:r w:rsidR="00F53D5F">
        <w:rPr>
          <w:rFonts w:hint="eastAsia"/>
        </w:rPr>
        <w:t>, které jsou internetovými zdroji a</w:t>
      </w:r>
      <w:r w:rsidR="00F45E52">
        <w:t xml:space="preserve"> obsahují většinu</w:t>
      </w:r>
      <w:r w:rsidR="00F53D5F">
        <w:rPr>
          <w:rFonts w:hint="eastAsia"/>
        </w:rPr>
        <w:t xml:space="preserve"> zápisů katakanou</w:t>
      </w:r>
      <w:r w:rsidR="00F45E52">
        <w:t xml:space="preserve"> z celého korpusu</w:t>
      </w:r>
      <w:r w:rsidR="00F53D5F">
        <w:rPr>
          <w:rFonts w:hint="eastAsia"/>
        </w:rPr>
        <w:t xml:space="preserve">. </w:t>
      </w:r>
      <w:r w:rsidR="00F53D5F">
        <w:t>Subkorpusy</w:t>
      </w:r>
      <w:r w:rsidR="00F45E52" w:rsidRPr="00F45E52">
        <w:t xml:space="preserve"> </w:t>
      </w:r>
      <w:r w:rsidR="00F45E52" w:rsidRPr="00F45E52">
        <w:rPr>
          <w:i/>
        </w:rPr>
        <w:t>Ostatní - vládní jednání</w:t>
      </w:r>
      <w:r w:rsidR="00F53D5F">
        <w:rPr>
          <w:rFonts w:hint="eastAsia"/>
        </w:rPr>
        <w:t xml:space="preserve">, </w:t>
      </w:r>
      <w:r w:rsidR="00F45E52" w:rsidRPr="00F45E52">
        <w:rPr>
          <w:i/>
        </w:rPr>
        <w:t>Ostatní - zákoníky</w:t>
      </w:r>
      <w:r w:rsidR="00F53D5F">
        <w:rPr>
          <w:rFonts w:hint="eastAsia"/>
        </w:rPr>
        <w:t xml:space="preserve"> a</w:t>
      </w:r>
      <w:r w:rsidR="00F45E52" w:rsidRPr="00F45E52">
        <w:t xml:space="preserve"> </w:t>
      </w:r>
      <w:r w:rsidR="00F45E52" w:rsidRPr="00F45E52">
        <w:rPr>
          <w:i/>
        </w:rPr>
        <w:t>Ostatní - vládní zprávy</w:t>
      </w:r>
      <w:r w:rsidR="00F53D5F">
        <w:rPr>
          <w:rFonts w:hint="eastAsia"/>
        </w:rPr>
        <w:t xml:space="preserve"> obsahují oficiální</w:t>
      </w:r>
      <w:r w:rsidR="00F53D5F">
        <w:t>, případně</w:t>
      </w:r>
      <w:r w:rsidR="00F53D5F">
        <w:rPr>
          <w:rFonts w:hint="eastAsia"/>
        </w:rPr>
        <w:t xml:space="preserve"> formální texty,</w:t>
      </w:r>
      <w:r w:rsidR="00F53D5F">
        <w:t xml:space="preserve"> a uči je v nich psáno hiraganou v drtivé většině výskytů.</w:t>
      </w:r>
      <w:r w:rsidR="00904F4C">
        <w:t xml:space="preserve"> V subkorpusech</w:t>
      </w:r>
      <w:r w:rsidR="00F45E52" w:rsidRPr="00F45E52">
        <w:t xml:space="preserve"> </w:t>
      </w:r>
      <w:r w:rsidR="00F45E52" w:rsidRPr="00F45E52">
        <w:rPr>
          <w:i/>
        </w:rPr>
        <w:t>Ostatní - zákoníky</w:t>
      </w:r>
      <w:r w:rsidR="00904F4C" w:rsidRPr="00904F4C">
        <w:rPr>
          <w:rFonts w:hint="eastAsia"/>
        </w:rPr>
        <w:t xml:space="preserve"> a</w:t>
      </w:r>
      <w:r w:rsidR="00F45E52" w:rsidRPr="00F45E52">
        <w:t xml:space="preserve"> </w:t>
      </w:r>
      <w:r w:rsidR="00F45E52" w:rsidRPr="00F45E52">
        <w:rPr>
          <w:i/>
        </w:rPr>
        <w:t>Ostatní - vládní zprávy</w:t>
      </w:r>
      <w:r w:rsidR="00904F4C">
        <w:rPr>
          <w:rFonts w:hint="eastAsia"/>
        </w:rPr>
        <w:t xml:space="preserve"> </w:t>
      </w:r>
      <w:r w:rsidR="00904F4C">
        <w:t xml:space="preserve">se </w:t>
      </w:r>
      <w:r w:rsidR="00904F4C">
        <w:rPr>
          <w:rFonts w:hint="eastAsia"/>
        </w:rPr>
        <w:t xml:space="preserve">slovo uči </w:t>
      </w:r>
      <w:r w:rsidR="00904F4C">
        <w:t xml:space="preserve">vyskytuje častěji, než je v celém korpusu běžné. Jeho četnost </w:t>
      </w:r>
      <w:r w:rsidR="00904F4C">
        <w:rPr>
          <w:rFonts w:hint="eastAsia"/>
        </w:rPr>
        <w:t xml:space="preserve">na milion slov </w:t>
      </w:r>
      <w:r w:rsidR="00904F4C">
        <w:t>je dvounásobkem celokorpusového průměru</w:t>
      </w:r>
      <w:r w:rsidR="00904F4C">
        <w:rPr>
          <w:rFonts w:hint="eastAsia"/>
        </w:rPr>
        <w:t xml:space="preserve">. </w:t>
      </w:r>
      <w:r w:rsidR="00472F94">
        <w:t>Vliv subkorpusů</w:t>
      </w:r>
      <w:r w:rsidR="00977517" w:rsidRPr="00977517">
        <w:t xml:space="preserve"> </w:t>
      </w:r>
      <w:r w:rsidR="00977517" w:rsidRPr="00977517">
        <w:rPr>
          <w:i/>
        </w:rPr>
        <w:t>Ostatní - bestselery</w:t>
      </w:r>
      <w:r w:rsidR="00472F94">
        <w:rPr>
          <w:rFonts w:hint="eastAsia"/>
        </w:rPr>
        <w:t xml:space="preserve"> a</w:t>
      </w:r>
      <w:r w:rsidR="00977517" w:rsidRPr="00977517">
        <w:t xml:space="preserve"> </w:t>
      </w:r>
      <w:r w:rsidR="00977517" w:rsidRPr="00977517">
        <w:rPr>
          <w:i/>
        </w:rPr>
        <w:t>Ostatní - verše</w:t>
      </w:r>
      <w:r w:rsidR="00472F94">
        <w:rPr>
          <w:rFonts w:hint="eastAsia"/>
        </w:rPr>
        <w:t xml:space="preserve"> není statisticky významný.</w:t>
      </w:r>
    </w:p>
    <w:sectPr w:rsidR="00213C7E" w:rsidRPr="00802E40" w:rsidSect="00A358EA">
      <w:footerReference w:type="default" r:id="rId8"/>
      <w:pgSz w:w="11906" w:h="16838"/>
      <w:pgMar w:top="1418" w:right="1985"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EC19D" w14:textId="77777777" w:rsidR="004D2181" w:rsidRDefault="004D2181" w:rsidP="000F32CE">
      <w:pPr>
        <w:spacing w:line="240" w:lineRule="auto"/>
      </w:pPr>
      <w:r>
        <w:separator/>
      </w:r>
    </w:p>
  </w:endnote>
  <w:endnote w:type="continuationSeparator" w:id="0">
    <w:p w14:paraId="3E8FB51E" w14:textId="77777777" w:rsidR="004D2181" w:rsidRDefault="004D2181" w:rsidP="000F3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B81E6" w14:textId="77777777" w:rsidR="00A92069" w:rsidRPr="000F32CE" w:rsidRDefault="00A92069" w:rsidP="001C4F52">
    <w:pPr>
      <w:jc w:val="center"/>
    </w:pPr>
    <w:r>
      <w:fldChar w:fldCharType="begin"/>
    </w:r>
    <w:r>
      <w:instrText xml:space="preserve"> PAGE  \* ArabicDash  \* MERGEFORMAT </w:instrText>
    </w:r>
    <w:r>
      <w:fldChar w:fldCharType="separate"/>
    </w:r>
    <w:r w:rsidR="00190E01">
      <w:rPr>
        <w:noProof/>
      </w:rPr>
      <w:t>- 1 -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99288" w14:textId="77777777" w:rsidR="004D2181" w:rsidRDefault="004D2181" w:rsidP="000F32CE">
      <w:pPr>
        <w:spacing w:line="240" w:lineRule="auto"/>
      </w:pPr>
      <w:r>
        <w:separator/>
      </w:r>
    </w:p>
  </w:footnote>
  <w:footnote w:type="continuationSeparator" w:id="0">
    <w:p w14:paraId="061299F9" w14:textId="77777777" w:rsidR="004D2181" w:rsidRDefault="004D2181" w:rsidP="000F32CE">
      <w:pPr>
        <w:spacing w:line="240" w:lineRule="auto"/>
      </w:pPr>
      <w:r>
        <w:continuationSeparator/>
      </w:r>
    </w:p>
  </w:footnote>
  <w:footnote w:id="1">
    <w:p w14:paraId="4C574E8E" w14:textId="77777777" w:rsidR="00A92069" w:rsidRDefault="00A92069">
      <w:pPr>
        <w:pStyle w:val="Textpoznpodarou"/>
      </w:pPr>
      <w:r>
        <w:rPr>
          <w:rStyle w:val="Znakapoznpodarou"/>
        </w:rPr>
        <w:footnoteRef/>
      </w:r>
      <w:r>
        <w:t xml:space="preserve"> Nejčastěji se jako hraniční hodnota uvádí 0,05 (Brezina 2018, Anděl 2007, s. 9). Zde je tato pravděpodobnost menší než 0,0001.</w:t>
      </w:r>
    </w:p>
  </w:footnote>
  <w:footnote w:id="2">
    <w:p w14:paraId="4C6D89EF" w14:textId="77777777" w:rsidR="00A92069" w:rsidRDefault="00A92069">
      <w:pPr>
        <w:pStyle w:val="Textpoznpodarou"/>
      </w:pPr>
      <w:r>
        <w:rPr>
          <w:rStyle w:val="Znakapoznpodarou"/>
        </w:rPr>
        <w:footnoteRef/>
      </w:r>
      <w:r>
        <w:t xml:space="preserve"> C-index se v citovaném článku označuje jako AUC a je definován v jiném kontextu. Interpretace, že se jedná o pravděpodobnost správné funkce modelu, je však stejná. Informace o tom, že C-index a AUC je totožná věc je v poznámkovém aparátu Brezina,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187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DA73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0A0A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E032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A5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414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8495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C83B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FC0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7C9C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74553"/>
    <w:multiLevelType w:val="multilevel"/>
    <w:tmpl w:val="0CEE578A"/>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11" w15:restartNumberingAfterBreak="0">
    <w:nsid w:val="06FF2497"/>
    <w:multiLevelType w:val="multilevel"/>
    <w:tmpl w:val="0CEE578A"/>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12" w15:restartNumberingAfterBreak="0">
    <w:nsid w:val="133A4CF4"/>
    <w:multiLevelType w:val="multilevel"/>
    <w:tmpl w:val="0CEE578A"/>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13" w15:restartNumberingAfterBreak="0">
    <w:nsid w:val="170F5429"/>
    <w:multiLevelType w:val="multilevel"/>
    <w:tmpl w:val="0CEE578A"/>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14" w15:restartNumberingAfterBreak="0">
    <w:nsid w:val="19533B66"/>
    <w:multiLevelType w:val="multilevel"/>
    <w:tmpl w:val="0CEE578A"/>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15" w15:restartNumberingAfterBreak="0">
    <w:nsid w:val="1AB00E34"/>
    <w:multiLevelType w:val="hybridMultilevel"/>
    <w:tmpl w:val="1FCE84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0961F7"/>
    <w:multiLevelType w:val="multilevel"/>
    <w:tmpl w:val="0CEE578A"/>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17" w15:restartNumberingAfterBreak="0">
    <w:nsid w:val="217A6E35"/>
    <w:multiLevelType w:val="hybridMultilevel"/>
    <w:tmpl w:val="657CD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7A1C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8B160C"/>
    <w:multiLevelType w:val="multilevel"/>
    <w:tmpl w:val="B9A69E32"/>
    <w:styleLink w:val="Style1"/>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20" w15:restartNumberingAfterBreak="0">
    <w:nsid w:val="335A472F"/>
    <w:multiLevelType w:val="hybridMultilevel"/>
    <w:tmpl w:val="3D0EC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2F4515"/>
    <w:multiLevelType w:val="multilevel"/>
    <w:tmpl w:val="0CEE578A"/>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22" w15:restartNumberingAfterBreak="0">
    <w:nsid w:val="3FC94E2A"/>
    <w:multiLevelType w:val="hybridMultilevel"/>
    <w:tmpl w:val="EFDE9A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881C6E"/>
    <w:multiLevelType w:val="multilevel"/>
    <w:tmpl w:val="0CEE578A"/>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24" w15:restartNumberingAfterBreak="0">
    <w:nsid w:val="55904D3F"/>
    <w:multiLevelType w:val="hybridMultilevel"/>
    <w:tmpl w:val="75A81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BA7DC4"/>
    <w:multiLevelType w:val="hybridMultilevel"/>
    <w:tmpl w:val="150AA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0F1A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5A56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923613"/>
    <w:multiLevelType w:val="multilevel"/>
    <w:tmpl w:val="0CEE578A"/>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29" w15:restartNumberingAfterBreak="0">
    <w:nsid w:val="62CD2018"/>
    <w:multiLevelType w:val="hybridMultilevel"/>
    <w:tmpl w:val="D6066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725702"/>
    <w:multiLevelType w:val="multilevel"/>
    <w:tmpl w:val="0CEE578A"/>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31" w15:restartNumberingAfterBreak="0">
    <w:nsid w:val="6DA519FD"/>
    <w:multiLevelType w:val="multilevel"/>
    <w:tmpl w:val="0CEE578A"/>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32" w15:restartNumberingAfterBreak="0">
    <w:nsid w:val="732767C9"/>
    <w:multiLevelType w:val="multilevel"/>
    <w:tmpl w:val="B9A69E32"/>
    <w:numStyleLink w:val="Style1"/>
  </w:abstractNum>
  <w:abstractNum w:abstractNumId="33" w15:restartNumberingAfterBreak="0">
    <w:nsid w:val="738872BE"/>
    <w:multiLevelType w:val="hybridMultilevel"/>
    <w:tmpl w:val="738E9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A97F2E"/>
    <w:multiLevelType w:val="multilevel"/>
    <w:tmpl w:val="0CEE578A"/>
    <w:lvl w:ilvl="0">
      <w:start w:val="1"/>
      <w:numFmt w:val="decimal"/>
      <w:suff w:val="nothing"/>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35" w15:restartNumberingAfterBreak="0">
    <w:nsid w:val="7E363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18"/>
  </w:num>
  <w:num w:numId="3">
    <w:abstractNumId w:val="13"/>
  </w:num>
  <w:num w:numId="4">
    <w:abstractNumId w:val="27"/>
  </w:num>
  <w:num w:numId="5">
    <w:abstractNumId w:val="26"/>
  </w:num>
  <w:num w:numId="6">
    <w:abstractNumId w:val="19"/>
  </w:num>
  <w:num w:numId="7">
    <w:abstractNumId w:val="32"/>
  </w:num>
  <w:num w:numId="8">
    <w:abstractNumId w:val="20"/>
  </w:num>
  <w:num w:numId="9">
    <w:abstractNumId w:val="34"/>
  </w:num>
  <w:num w:numId="10">
    <w:abstractNumId w:val="17"/>
  </w:num>
  <w:num w:numId="11">
    <w:abstractNumId w:val="29"/>
  </w:num>
  <w:num w:numId="12">
    <w:abstractNumId w:val="10"/>
  </w:num>
  <w:num w:numId="13">
    <w:abstractNumId w:val="30"/>
  </w:num>
  <w:num w:numId="14">
    <w:abstractNumId w:val="24"/>
  </w:num>
  <w:num w:numId="15">
    <w:abstractNumId w:val="1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22"/>
  </w:num>
  <w:num w:numId="27">
    <w:abstractNumId w:val="12"/>
  </w:num>
  <w:num w:numId="28">
    <w:abstractNumId w:val="28"/>
  </w:num>
  <w:num w:numId="29">
    <w:abstractNumId w:val="16"/>
  </w:num>
  <w:num w:numId="30">
    <w:abstractNumId w:val="23"/>
  </w:num>
  <w:num w:numId="31">
    <w:abstractNumId w:val="31"/>
  </w:num>
  <w:num w:numId="32">
    <w:abstractNumId w:val="21"/>
  </w:num>
  <w:num w:numId="33">
    <w:abstractNumId w:val="11"/>
  </w:num>
  <w:num w:numId="34">
    <w:abstractNumId w:val="33"/>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48"/>
    <w:rsid w:val="00000D13"/>
    <w:rsid w:val="00001A8D"/>
    <w:rsid w:val="00005678"/>
    <w:rsid w:val="00005E65"/>
    <w:rsid w:val="000110CF"/>
    <w:rsid w:val="00014A49"/>
    <w:rsid w:val="00015870"/>
    <w:rsid w:val="00021597"/>
    <w:rsid w:val="00022734"/>
    <w:rsid w:val="0002353A"/>
    <w:rsid w:val="00025290"/>
    <w:rsid w:val="0003375E"/>
    <w:rsid w:val="00034887"/>
    <w:rsid w:val="00034F8A"/>
    <w:rsid w:val="00035661"/>
    <w:rsid w:val="000377CF"/>
    <w:rsid w:val="00040783"/>
    <w:rsid w:val="00041810"/>
    <w:rsid w:val="000424B5"/>
    <w:rsid w:val="00044637"/>
    <w:rsid w:val="000539CA"/>
    <w:rsid w:val="00054CE5"/>
    <w:rsid w:val="00055FAA"/>
    <w:rsid w:val="00060107"/>
    <w:rsid w:val="00060581"/>
    <w:rsid w:val="00063445"/>
    <w:rsid w:val="00064DF9"/>
    <w:rsid w:val="00066F5C"/>
    <w:rsid w:val="00071280"/>
    <w:rsid w:val="00076A95"/>
    <w:rsid w:val="0008241C"/>
    <w:rsid w:val="0009049F"/>
    <w:rsid w:val="000949FC"/>
    <w:rsid w:val="000972CA"/>
    <w:rsid w:val="0009780A"/>
    <w:rsid w:val="00097B16"/>
    <w:rsid w:val="000A6223"/>
    <w:rsid w:val="000A6CEB"/>
    <w:rsid w:val="000A7F50"/>
    <w:rsid w:val="000B1F01"/>
    <w:rsid w:val="000B1F5E"/>
    <w:rsid w:val="000B7317"/>
    <w:rsid w:val="000C3B27"/>
    <w:rsid w:val="000C445F"/>
    <w:rsid w:val="000C703B"/>
    <w:rsid w:val="000D3545"/>
    <w:rsid w:val="000E023F"/>
    <w:rsid w:val="000E07B3"/>
    <w:rsid w:val="000E14FE"/>
    <w:rsid w:val="000E3B3A"/>
    <w:rsid w:val="000E7277"/>
    <w:rsid w:val="000E7AD6"/>
    <w:rsid w:val="000F32CE"/>
    <w:rsid w:val="000F5402"/>
    <w:rsid w:val="000F553E"/>
    <w:rsid w:val="000F57FD"/>
    <w:rsid w:val="001009A2"/>
    <w:rsid w:val="001014D1"/>
    <w:rsid w:val="00103791"/>
    <w:rsid w:val="0011117D"/>
    <w:rsid w:val="00111A1A"/>
    <w:rsid w:val="0011381F"/>
    <w:rsid w:val="001176EE"/>
    <w:rsid w:val="00117BA4"/>
    <w:rsid w:val="00123080"/>
    <w:rsid w:val="00127218"/>
    <w:rsid w:val="0013267C"/>
    <w:rsid w:val="00132CC4"/>
    <w:rsid w:val="00132D55"/>
    <w:rsid w:val="001335D5"/>
    <w:rsid w:val="00134245"/>
    <w:rsid w:val="00135532"/>
    <w:rsid w:val="001355C7"/>
    <w:rsid w:val="001362E3"/>
    <w:rsid w:val="001364C7"/>
    <w:rsid w:val="00137841"/>
    <w:rsid w:val="001408FA"/>
    <w:rsid w:val="00142D0A"/>
    <w:rsid w:val="00143246"/>
    <w:rsid w:val="001438F8"/>
    <w:rsid w:val="00144159"/>
    <w:rsid w:val="00146E95"/>
    <w:rsid w:val="001511C2"/>
    <w:rsid w:val="0015203E"/>
    <w:rsid w:val="00155FEC"/>
    <w:rsid w:val="00156AEE"/>
    <w:rsid w:val="00157614"/>
    <w:rsid w:val="00160224"/>
    <w:rsid w:val="001608D4"/>
    <w:rsid w:val="00161122"/>
    <w:rsid w:val="0016192E"/>
    <w:rsid w:val="0016196E"/>
    <w:rsid w:val="001624FA"/>
    <w:rsid w:val="00162989"/>
    <w:rsid w:val="00163996"/>
    <w:rsid w:val="00163CAC"/>
    <w:rsid w:val="00164808"/>
    <w:rsid w:val="0017604B"/>
    <w:rsid w:val="00176C94"/>
    <w:rsid w:val="00177AB6"/>
    <w:rsid w:val="00180313"/>
    <w:rsid w:val="00180706"/>
    <w:rsid w:val="00181E8C"/>
    <w:rsid w:val="0018314F"/>
    <w:rsid w:val="001837BD"/>
    <w:rsid w:val="00184398"/>
    <w:rsid w:val="00186888"/>
    <w:rsid w:val="00190E01"/>
    <w:rsid w:val="00191063"/>
    <w:rsid w:val="00192CA3"/>
    <w:rsid w:val="00192F3D"/>
    <w:rsid w:val="001948E6"/>
    <w:rsid w:val="00195367"/>
    <w:rsid w:val="0019564D"/>
    <w:rsid w:val="001A013F"/>
    <w:rsid w:val="001A09AF"/>
    <w:rsid w:val="001A33A7"/>
    <w:rsid w:val="001A374B"/>
    <w:rsid w:val="001A3BFF"/>
    <w:rsid w:val="001A5B6F"/>
    <w:rsid w:val="001A6AA1"/>
    <w:rsid w:val="001B1EBB"/>
    <w:rsid w:val="001B47AA"/>
    <w:rsid w:val="001B5BE6"/>
    <w:rsid w:val="001B5F76"/>
    <w:rsid w:val="001C1922"/>
    <w:rsid w:val="001C4F52"/>
    <w:rsid w:val="001C6408"/>
    <w:rsid w:val="001C6B2F"/>
    <w:rsid w:val="001D242D"/>
    <w:rsid w:val="001D700B"/>
    <w:rsid w:val="001D73F6"/>
    <w:rsid w:val="001E23CB"/>
    <w:rsid w:val="001E5F67"/>
    <w:rsid w:val="001E7448"/>
    <w:rsid w:val="001E79E2"/>
    <w:rsid w:val="001F14E2"/>
    <w:rsid w:val="001F1596"/>
    <w:rsid w:val="001F33A4"/>
    <w:rsid w:val="001F462A"/>
    <w:rsid w:val="00203058"/>
    <w:rsid w:val="00203C5C"/>
    <w:rsid w:val="00210417"/>
    <w:rsid w:val="00211AB2"/>
    <w:rsid w:val="00212032"/>
    <w:rsid w:val="00212FF2"/>
    <w:rsid w:val="00213872"/>
    <w:rsid w:val="00213C7E"/>
    <w:rsid w:val="00214043"/>
    <w:rsid w:val="00214FE2"/>
    <w:rsid w:val="00216AE6"/>
    <w:rsid w:val="00220842"/>
    <w:rsid w:val="00220AD7"/>
    <w:rsid w:val="00222195"/>
    <w:rsid w:val="00226937"/>
    <w:rsid w:val="002304BB"/>
    <w:rsid w:val="00231935"/>
    <w:rsid w:val="00232079"/>
    <w:rsid w:val="002329C0"/>
    <w:rsid w:val="002359F3"/>
    <w:rsid w:val="00242C44"/>
    <w:rsid w:val="00246C0B"/>
    <w:rsid w:val="00246C1F"/>
    <w:rsid w:val="00257AED"/>
    <w:rsid w:val="00262514"/>
    <w:rsid w:val="0026354F"/>
    <w:rsid w:val="00263D33"/>
    <w:rsid w:val="00264C72"/>
    <w:rsid w:val="00265CA7"/>
    <w:rsid w:val="00267573"/>
    <w:rsid w:val="002721E4"/>
    <w:rsid w:val="002721F0"/>
    <w:rsid w:val="0027663A"/>
    <w:rsid w:val="002804E4"/>
    <w:rsid w:val="00283599"/>
    <w:rsid w:val="00285D8A"/>
    <w:rsid w:val="0029030C"/>
    <w:rsid w:val="002961F2"/>
    <w:rsid w:val="002972FB"/>
    <w:rsid w:val="002A040C"/>
    <w:rsid w:val="002A279C"/>
    <w:rsid w:val="002A7E66"/>
    <w:rsid w:val="002B199E"/>
    <w:rsid w:val="002C1885"/>
    <w:rsid w:val="002C2003"/>
    <w:rsid w:val="002C7A89"/>
    <w:rsid w:val="002D10E9"/>
    <w:rsid w:val="002D18BB"/>
    <w:rsid w:val="002D3044"/>
    <w:rsid w:val="002D48AE"/>
    <w:rsid w:val="002D5185"/>
    <w:rsid w:val="002D72A3"/>
    <w:rsid w:val="002E2B29"/>
    <w:rsid w:val="002E2CD9"/>
    <w:rsid w:val="002E4836"/>
    <w:rsid w:val="002F00CE"/>
    <w:rsid w:val="002F62DA"/>
    <w:rsid w:val="00302ABB"/>
    <w:rsid w:val="00305124"/>
    <w:rsid w:val="00311FEE"/>
    <w:rsid w:val="003121A7"/>
    <w:rsid w:val="00315841"/>
    <w:rsid w:val="00324FD0"/>
    <w:rsid w:val="00331A47"/>
    <w:rsid w:val="00335361"/>
    <w:rsid w:val="003364AC"/>
    <w:rsid w:val="00342DEC"/>
    <w:rsid w:val="00344E5E"/>
    <w:rsid w:val="00346184"/>
    <w:rsid w:val="003510FB"/>
    <w:rsid w:val="003526E5"/>
    <w:rsid w:val="003576F9"/>
    <w:rsid w:val="00357B2D"/>
    <w:rsid w:val="00361509"/>
    <w:rsid w:val="00361831"/>
    <w:rsid w:val="003637F2"/>
    <w:rsid w:val="00363A02"/>
    <w:rsid w:val="00366ED9"/>
    <w:rsid w:val="00372706"/>
    <w:rsid w:val="00376ED9"/>
    <w:rsid w:val="00385606"/>
    <w:rsid w:val="00390477"/>
    <w:rsid w:val="00390F2B"/>
    <w:rsid w:val="003961FE"/>
    <w:rsid w:val="003973B7"/>
    <w:rsid w:val="003A3984"/>
    <w:rsid w:val="003B1598"/>
    <w:rsid w:val="003B433D"/>
    <w:rsid w:val="003B757E"/>
    <w:rsid w:val="003C2335"/>
    <w:rsid w:val="003C2D7F"/>
    <w:rsid w:val="003C4F3C"/>
    <w:rsid w:val="003C5279"/>
    <w:rsid w:val="003C7FC0"/>
    <w:rsid w:val="003D2520"/>
    <w:rsid w:val="003D31E7"/>
    <w:rsid w:val="003D59B0"/>
    <w:rsid w:val="003D6658"/>
    <w:rsid w:val="003E0D4F"/>
    <w:rsid w:val="003E0EC8"/>
    <w:rsid w:val="003E32A9"/>
    <w:rsid w:val="003E3323"/>
    <w:rsid w:val="003E47E9"/>
    <w:rsid w:val="003E5DD6"/>
    <w:rsid w:val="003F0B87"/>
    <w:rsid w:val="003F0FF0"/>
    <w:rsid w:val="003F20C3"/>
    <w:rsid w:val="003F6643"/>
    <w:rsid w:val="004022A7"/>
    <w:rsid w:val="00402BF0"/>
    <w:rsid w:val="00402DA5"/>
    <w:rsid w:val="00402F55"/>
    <w:rsid w:val="00407DA1"/>
    <w:rsid w:val="004127C2"/>
    <w:rsid w:val="0041285A"/>
    <w:rsid w:val="00414F86"/>
    <w:rsid w:val="00415CE3"/>
    <w:rsid w:val="004163D2"/>
    <w:rsid w:val="004165F2"/>
    <w:rsid w:val="00416B76"/>
    <w:rsid w:val="00422C74"/>
    <w:rsid w:val="00423684"/>
    <w:rsid w:val="00425139"/>
    <w:rsid w:val="00425552"/>
    <w:rsid w:val="00427BD2"/>
    <w:rsid w:val="00427E55"/>
    <w:rsid w:val="00431C26"/>
    <w:rsid w:val="0043512B"/>
    <w:rsid w:val="00441EB5"/>
    <w:rsid w:val="00442D0C"/>
    <w:rsid w:val="004452D7"/>
    <w:rsid w:val="0044621C"/>
    <w:rsid w:val="004553D2"/>
    <w:rsid w:val="00455DE3"/>
    <w:rsid w:val="00460AA8"/>
    <w:rsid w:val="00464898"/>
    <w:rsid w:val="00467CB1"/>
    <w:rsid w:val="00472F94"/>
    <w:rsid w:val="0047408F"/>
    <w:rsid w:val="004754FE"/>
    <w:rsid w:val="0047747B"/>
    <w:rsid w:val="00477539"/>
    <w:rsid w:val="004805C9"/>
    <w:rsid w:val="00481854"/>
    <w:rsid w:val="00482274"/>
    <w:rsid w:val="00483048"/>
    <w:rsid w:val="00485788"/>
    <w:rsid w:val="004905DD"/>
    <w:rsid w:val="00492303"/>
    <w:rsid w:val="00493D68"/>
    <w:rsid w:val="00494FA5"/>
    <w:rsid w:val="004959E5"/>
    <w:rsid w:val="00497D10"/>
    <w:rsid w:val="004A3A51"/>
    <w:rsid w:val="004A5ECF"/>
    <w:rsid w:val="004A7F6A"/>
    <w:rsid w:val="004B3806"/>
    <w:rsid w:val="004B39DA"/>
    <w:rsid w:val="004B4CDC"/>
    <w:rsid w:val="004B7D2F"/>
    <w:rsid w:val="004C7E81"/>
    <w:rsid w:val="004D2181"/>
    <w:rsid w:val="004D2611"/>
    <w:rsid w:val="004D41C7"/>
    <w:rsid w:val="004D5DE8"/>
    <w:rsid w:val="004D6623"/>
    <w:rsid w:val="004E0CD0"/>
    <w:rsid w:val="004E3611"/>
    <w:rsid w:val="004E601E"/>
    <w:rsid w:val="004F10E6"/>
    <w:rsid w:val="004F41A8"/>
    <w:rsid w:val="004F6148"/>
    <w:rsid w:val="005048B9"/>
    <w:rsid w:val="005102D6"/>
    <w:rsid w:val="00513C0B"/>
    <w:rsid w:val="00514070"/>
    <w:rsid w:val="00514545"/>
    <w:rsid w:val="00514F45"/>
    <w:rsid w:val="005159C3"/>
    <w:rsid w:val="0051612A"/>
    <w:rsid w:val="00517F3A"/>
    <w:rsid w:val="00520784"/>
    <w:rsid w:val="005216B4"/>
    <w:rsid w:val="005277DC"/>
    <w:rsid w:val="005342D6"/>
    <w:rsid w:val="00542E7C"/>
    <w:rsid w:val="00544392"/>
    <w:rsid w:val="005446B0"/>
    <w:rsid w:val="00545C26"/>
    <w:rsid w:val="00546266"/>
    <w:rsid w:val="00552A4C"/>
    <w:rsid w:val="00554B5E"/>
    <w:rsid w:val="00556290"/>
    <w:rsid w:val="005626E1"/>
    <w:rsid w:val="00562F5D"/>
    <w:rsid w:val="00564FB6"/>
    <w:rsid w:val="00565757"/>
    <w:rsid w:val="005670E6"/>
    <w:rsid w:val="00574048"/>
    <w:rsid w:val="0057538B"/>
    <w:rsid w:val="00575E59"/>
    <w:rsid w:val="00581607"/>
    <w:rsid w:val="00582542"/>
    <w:rsid w:val="005842D0"/>
    <w:rsid w:val="005854E2"/>
    <w:rsid w:val="0059190B"/>
    <w:rsid w:val="00595FFC"/>
    <w:rsid w:val="0059664E"/>
    <w:rsid w:val="005A17E4"/>
    <w:rsid w:val="005A3B12"/>
    <w:rsid w:val="005A4137"/>
    <w:rsid w:val="005A4988"/>
    <w:rsid w:val="005A5768"/>
    <w:rsid w:val="005A5E18"/>
    <w:rsid w:val="005B0DDF"/>
    <w:rsid w:val="005B1D33"/>
    <w:rsid w:val="005B4E0A"/>
    <w:rsid w:val="005B5970"/>
    <w:rsid w:val="005C056A"/>
    <w:rsid w:val="005C1173"/>
    <w:rsid w:val="005C1463"/>
    <w:rsid w:val="005C4287"/>
    <w:rsid w:val="005C54B1"/>
    <w:rsid w:val="005C7880"/>
    <w:rsid w:val="005D15E2"/>
    <w:rsid w:val="005D2E2C"/>
    <w:rsid w:val="005D425D"/>
    <w:rsid w:val="005D52B3"/>
    <w:rsid w:val="005D5AA2"/>
    <w:rsid w:val="005D7030"/>
    <w:rsid w:val="005E05EA"/>
    <w:rsid w:val="005E13E1"/>
    <w:rsid w:val="005E542E"/>
    <w:rsid w:val="005F23A5"/>
    <w:rsid w:val="005F3590"/>
    <w:rsid w:val="005F53EF"/>
    <w:rsid w:val="005F63C6"/>
    <w:rsid w:val="005F7E2F"/>
    <w:rsid w:val="00603499"/>
    <w:rsid w:val="00603D6D"/>
    <w:rsid w:val="00607CD5"/>
    <w:rsid w:val="0061064A"/>
    <w:rsid w:val="00613D6F"/>
    <w:rsid w:val="006145DE"/>
    <w:rsid w:val="0061476C"/>
    <w:rsid w:val="00616C1E"/>
    <w:rsid w:val="006204D4"/>
    <w:rsid w:val="00622BBE"/>
    <w:rsid w:val="0063222F"/>
    <w:rsid w:val="00633CFB"/>
    <w:rsid w:val="00634113"/>
    <w:rsid w:val="006451CB"/>
    <w:rsid w:val="00647036"/>
    <w:rsid w:val="00647DF1"/>
    <w:rsid w:val="006509DF"/>
    <w:rsid w:val="00650F7A"/>
    <w:rsid w:val="00651F72"/>
    <w:rsid w:val="0065341D"/>
    <w:rsid w:val="006538BC"/>
    <w:rsid w:val="00655CB2"/>
    <w:rsid w:val="00657899"/>
    <w:rsid w:val="00657F6B"/>
    <w:rsid w:val="00660A30"/>
    <w:rsid w:val="006663D0"/>
    <w:rsid w:val="00673661"/>
    <w:rsid w:val="006750DF"/>
    <w:rsid w:val="00675FA1"/>
    <w:rsid w:val="006846E7"/>
    <w:rsid w:val="006955FF"/>
    <w:rsid w:val="00696791"/>
    <w:rsid w:val="006A0577"/>
    <w:rsid w:val="006B1C58"/>
    <w:rsid w:val="006B3646"/>
    <w:rsid w:val="006B41C0"/>
    <w:rsid w:val="006C1D32"/>
    <w:rsid w:val="006C2022"/>
    <w:rsid w:val="006C235D"/>
    <w:rsid w:val="006C6AAE"/>
    <w:rsid w:val="006E221B"/>
    <w:rsid w:val="006E3510"/>
    <w:rsid w:val="006F1F42"/>
    <w:rsid w:val="006F3517"/>
    <w:rsid w:val="006F78B1"/>
    <w:rsid w:val="00700394"/>
    <w:rsid w:val="00702A8D"/>
    <w:rsid w:val="00713073"/>
    <w:rsid w:val="00717937"/>
    <w:rsid w:val="00720300"/>
    <w:rsid w:val="007210D5"/>
    <w:rsid w:val="00725B68"/>
    <w:rsid w:val="00726DE6"/>
    <w:rsid w:val="0072734D"/>
    <w:rsid w:val="0073130A"/>
    <w:rsid w:val="0073245C"/>
    <w:rsid w:val="007340F8"/>
    <w:rsid w:val="007350C3"/>
    <w:rsid w:val="00740944"/>
    <w:rsid w:val="007418B1"/>
    <w:rsid w:val="00743269"/>
    <w:rsid w:val="007444E4"/>
    <w:rsid w:val="00750E15"/>
    <w:rsid w:val="00755532"/>
    <w:rsid w:val="00760149"/>
    <w:rsid w:val="00764803"/>
    <w:rsid w:val="00765DF1"/>
    <w:rsid w:val="0076714F"/>
    <w:rsid w:val="00767892"/>
    <w:rsid w:val="00770740"/>
    <w:rsid w:val="00781018"/>
    <w:rsid w:val="00781DF4"/>
    <w:rsid w:val="00787E2D"/>
    <w:rsid w:val="00791775"/>
    <w:rsid w:val="00792A4C"/>
    <w:rsid w:val="00794A15"/>
    <w:rsid w:val="0079527B"/>
    <w:rsid w:val="007A2635"/>
    <w:rsid w:val="007A265E"/>
    <w:rsid w:val="007C523E"/>
    <w:rsid w:val="007D429A"/>
    <w:rsid w:val="007D586A"/>
    <w:rsid w:val="007D5E10"/>
    <w:rsid w:val="007D5E57"/>
    <w:rsid w:val="007D6741"/>
    <w:rsid w:val="007D67BB"/>
    <w:rsid w:val="007D6EBA"/>
    <w:rsid w:val="007E2FC3"/>
    <w:rsid w:val="007E6A90"/>
    <w:rsid w:val="007E708F"/>
    <w:rsid w:val="007F0CFA"/>
    <w:rsid w:val="007F75CB"/>
    <w:rsid w:val="00802E40"/>
    <w:rsid w:val="00804CCF"/>
    <w:rsid w:val="00804DA0"/>
    <w:rsid w:val="008105D1"/>
    <w:rsid w:val="008122F4"/>
    <w:rsid w:val="008154F3"/>
    <w:rsid w:val="00815A18"/>
    <w:rsid w:val="008169E0"/>
    <w:rsid w:val="00817A09"/>
    <w:rsid w:val="008209B8"/>
    <w:rsid w:val="00820AF4"/>
    <w:rsid w:val="008210B9"/>
    <w:rsid w:val="00825A0D"/>
    <w:rsid w:val="00825C13"/>
    <w:rsid w:val="008261B1"/>
    <w:rsid w:val="008275E2"/>
    <w:rsid w:val="008345A8"/>
    <w:rsid w:val="008416BD"/>
    <w:rsid w:val="00842603"/>
    <w:rsid w:val="00847B55"/>
    <w:rsid w:val="00851444"/>
    <w:rsid w:val="00851E77"/>
    <w:rsid w:val="0085231C"/>
    <w:rsid w:val="00852671"/>
    <w:rsid w:val="00861FF8"/>
    <w:rsid w:val="008654E7"/>
    <w:rsid w:val="008725D8"/>
    <w:rsid w:val="008738EC"/>
    <w:rsid w:val="00873ABF"/>
    <w:rsid w:val="0087483F"/>
    <w:rsid w:val="00876C5A"/>
    <w:rsid w:val="00876E70"/>
    <w:rsid w:val="0087736E"/>
    <w:rsid w:val="0087774A"/>
    <w:rsid w:val="00883C20"/>
    <w:rsid w:val="00892748"/>
    <w:rsid w:val="00892FB1"/>
    <w:rsid w:val="00893334"/>
    <w:rsid w:val="008968C5"/>
    <w:rsid w:val="00896BEC"/>
    <w:rsid w:val="0089724F"/>
    <w:rsid w:val="008A1C3C"/>
    <w:rsid w:val="008A43B2"/>
    <w:rsid w:val="008A57BC"/>
    <w:rsid w:val="008A6DE8"/>
    <w:rsid w:val="008B1C26"/>
    <w:rsid w:val="008B277B"/>
    <w:rsid w:val="008B2D20"/>
    <w:rsid w:val="008B50F0"/>
    <w:rsid w:val="008B56CC"/>
    <w:rsid w:val="008B5A1E"/>
    <w:rsid w:val="008B5FD0"/>
    <w:rsid w:val="008B671F"/>
    <w:rsid w:val="008B7DEB"/>
    <w:rsid w:val="008C1CB8"/>
    <w:rsid w:val="008C45BC"/>
    <w:rsid w:val="008D08E9"/>
    <w:rsid w:val="008D5F7A"/>
    <w:rsid w:val="008D7C09"/>
    <w:rsid w:val="008E562B"/>
    <w:rsid w:val="008E739B"/>
    <w:rsid w:val="008F161A"/>
    <w:rsid w:val="008F4243"/>
    <w:rsid w:val="008F6FFD"/>
    <w:rsid w:val="008F7AF2"/>
    <w:rsid w:val="00900C7D"/>
    <w:rsid w:val="00904F4C"/>
    <w:rsid w:val="00906784"/>
    <w:rsid w:val="009120A7"/>
    <w:rsid w:val="009155E5"/>
    <w:rsid w:val="009164C9"/>
    <w:rsid w:val="009177D9"/>
    <w:rsid w:val="009234CF"/>
    <w:rsid w:val="00927293"/>
    <w:rsid w:val="00927429"/>
    <w:rsid w:val="009318A9"/>
    <w:rsid w:val="0093242E"/>
    <w:rsid w:val="00933884"/>
    <w:rsid w:val="009343F3"/>
    <w:rsid w:val="009359AC"/>
    <w:rsid w:val="009432C0"/>
    <w:rsid w:val="009450E2"/>
    <w:rsid w:val="0094663C"/>
    <w:rsid w:val="00946672"/>
    <w:rsid w:val="00953785"/>
    <w:rsid w:val="00955EFB"/>
    <w:rsid w:val="009611DB"/>
    <w:rsid w:val="00963D56"/>
    <w:rsid w:val="00963EEE"/>
    <w:rsid w:val="009746CF"/>
    <w:rsid w:val="00976243"/>
    <w:rsid w:val="00977517"/>
    <w:rsid w:val="009776F2"/>
    <w:rsid w:val="00981BC3"/>
    <w:rsid w:val="00982E20"/>
    <w:rsid w:val="0098457D"/>
    <w:rsid w:val="00987060"/>
    <w:rsid w:val="00987DE5"/>
    <w:rsid w:val="00992D8D"/>
    <w:rsid w:val="00992EB6"/>
    <w:rsid w:val="00996C9E"/>
    <w:rsid w:val="009A0D41"/>
    <w:rsid w:val="009A5DF8"/>
    <w:rsid w:val="009B2F07"/>
    <w:rsid w:val="009B502F"/>
    <w:rsid w:val="009B63D5"/>
    <w:rsid w:val="009C6923"/>
    <w:rsid w:val="009C71CF"/>
    <w:rsid w:val="009D1923"/>
    <w:rsid w:val="009D710E"/>
    <w:rsid w:val="009D7792"/>
    <w:rsid w:val="009E0FEE"/>
    <w:rsid w:val="009E2C5D"/>
    <w:rsid w:val="009E2D4D"/>
    <w:rsid w:val="009E68DC"/>
    <w:rsid w:val="009F1148"/>
    <w:rsid w:val="009F2483"/>
    <w:rsid w:val="009F44E2"/>
    <w:rsid w:val="009F4BFA"/>
    <w:rsid w:val="009F5B60"/>
    <w:rsid w:val="00A0089F"/>
    <w:rsid w:val="00A031AA"/>
    <w:rsid w:val="00A04D08"/>
    <w:rsid w:val="00A1174A"/>
    <w:rsid w:val="00A219C6"/>
    <w:rsid w:val="00A2283F"/>
    <w:rsid w:val="00A26DCF"/>
    <w:rsid w:val="00A27F31"/>
    <w:rsid w:val="00A358EA"/>
    <w:rsid w:val="00A3702B"/>
    <w:rsid w:val="00A373F5"/>
    <w:rsid w:val="00A44869"/>
    <w:rsid w:val="00A4493E"/>
    <w:rsid w:val="00A572FA"/>
    <w:rsid w:val="00A57F5F"/>
    <w:rsid w:val="00A61D5A"/>
    <w:rsid w:val="00A61E0F"/>
    <w:rsid w:val="00A62398"/>
    <w:rsid w:val="00A63614"/>
    <w:rsid w:val="00A66BF0"/>
    <w:rsid w:val="00A66FCD"/>
    <w:rsid w:val="00A6759F"/>
    <w:rsid w:val="00A72426"/>
    <w:rsid w:val="00A72835"/>
    <w:rsid w:val="00A75157"/>
    <w:rsid w:val="00A77FBF"/>
    <w:rsid w:val="00A805A5"/>
    <w:rsid w:val="00A80D79"/>
    <w:rsid w:val="00A81ECE"/>
    <w:rsid w:val="00A82747"/>
    <w:rsid w:val="00A834E6"/>
    <w:rsid w:val="00A836AD"/>
    <w:rsid w:val="00A8659D"/>
    <w:rsid w:val="00A92069"/>
    <w:rsid w:val="00A93441"/>
    <w:rsid w:val="00AA1AB9"/>
    <w:rsid w:val="00AA21C7"/>
    <w:rsid w:val="00AA45C5"/>
    <w:rsid w:val="00AB0D6E"/>
    <w:rsid w:val="00AB67C2"/>
    <w:rsid w:val="00AC3810"/>
    <w:rsid w:val="00AC4FCD"/>
    <w:rsid w:val="00AD22A8"/>
    <w:rsid w:val="00AE145C"/>
    <w:rsid w:val="00AE1602"/>
    <w:rsid w:val="00AE2B55"/>
    <w:rsid w:val="00AE402B"/>
    <w:rsid w:val="00AE6325"/>
    <w:rsid w:val="00AE6D16"/>
    <w:rsid w:val="00AF4C0D"/>
    <w:rsid w:val="00AF6C1C"/>
    <w:rsid w:val="00AF7E78"/>
    <w:rsid w:val="00B022E7"/>
    <w:rsid w:val="00B02946"/>
    <w:rsid w:val="00B04FAC"/>
    <w:rsid w:val="00B05168"/>
    <w:rsid w:val="00B07595"/>
    <w:rsid w:val="00B0771E"/>
    <w:rsid w:val="00B13BE8"/>
    <w:rsid w:val="00B14A78"/>
    <w:rsid w:val="00B14F92"/>
    <w:rsid w:val="00B251DC"/>
    <w:rsid w:val="00B268F3"/>
    <w:rsid w:val="00B276B7"/>
    <w:rsid w:val="00B35CF7"/>
    <w:rsid w:val="00B414EC"/>
    <w:rsid w:val="00B427E1"/>
    <w:rsid w:val="00B445F9"/>
    <w:rsid w:val="00B45322"/>
    <w:rsid w:val="00B4733C"/>
    <w:rsid w:val="00B5305F"/>
    <w:rsid w:val="00B53CA3"/>
    <w:rsid w:val="00B54091"/>
    <w:rsid w:val="00B548EA"/>
    <w:rsid w:val="00B5607F"/>
    <w:rsid w:val="00B56244"/>
    <w:rsid w:val="00B575ED"/>
    <w:rsid w:val="00B63C98"/>
    <w:rsid w:val="00B65D9F"/>
    <w:rsid w:val="00B67F09"/>
    <w:rsid w:val="00B70FBA"/>
    <w:rsid w:val="00B71BA1"/>
    <w:rsid w:val="00B72921"/>
    <w:rsid w:val="00B730A7"/>
    <w:rsid w:val="00B731E9"/>
    <w:rsid w:val="00B73D4F"/>
    <w:rsid w:val="00B74583"/>
    <w:rsid w:val="00B76F98"/>
    <w:rsid w:val="00B81584"/>
    <w:rsid w:val="00B85AE8"/>
    <w:rsid w:val="00B91B9F"/>
    <w:rsid w:val="00B92EF3"/>
    <w:rsid w:val="00B93AC8"/>
    <w:rsid w:val="00B945A1"/>
    <w:rsid w:val="00B96442"/>
    <w:rsid w:val="00BA4054"/>
    <w:rsid w:val="00BA4855"/>
    <w:rsid w:val="00BB103B"/>
    <w:rsid w:val="00BB10FB"/>
    <w:rsid w:val="00BB17A1"/>
    <w:rsid w:val="00BB1A03"/>
    <w:rsid w:val="00BB52D4"/>
    <w:rsid w:val="00BC29F8"/>
    <w:rsid w:val="00BD062D"/>
    <w:rsid w:val="00BD0914"/>
    <w:rsid w:val="00BD14D0"/>
    <w:rsid w:val="00BE1ABF"/>
    <w:rsid w:val="00BE7D71"/>
    <w:rsid w:val="00BF3840"/>
    <w:rsid w:val="00C01E71"/>
    <w:rsid w:val="00C06682"/>
    <w:rsid w:val="00C0699B"/>
    <w:rsid w:val="00C07CFC"/>
    <w:rsid w:val="00C07F8F"/>
    <w:rsid w:val="00C1506D"/>
    <w:rsid w:val="00C150EB"/>
    <w:rsid w:val="00C15BBC"/>
    <w:rsid w:val="00C169F9"/>
    <w:rsid w:val="00C214FB"/>
    <w:rsid w:val="00C2454D"/>
    <w:rsid w:val="00C32433"/>
    <w:rsid w:val="00C42F44"/>
    <w:rsid w:val="00C4366E"/>
    <w:rsid w:val="00C50F4B"/>
    <w:rsid w:val="00C51992"/>
    <w:rsid w:val="00C5561E"/>
    <w:rsid w:val="00C557B2"/>
    <w:rsid w:val="00C55B3B"/>
    <w:rsid w:val="00C56057"/>
    <w:rsid w:val="00C57FB1"/>
    <w:rsid w:val="00C61466"/>
    <w:rsid w:val="00C63662"/>
    <w:rsid w:val="00C64E31"/>
    <w:rsid w:val="00C65E86"/>
    <w:rsid w:val="00C714D8"/>
    <w:rsid w:val="00C72BA7"/>
    <w:rsid w:val="00C749F6"/>
    <w:rsid w:val="00C74C2B"/>
    <w:rsid w:val="00C8004A"/>
    <w:rsid w:val="00C8195B"/>
    <w:rsid w:val="00C84A6F"/>
    <w:rsid w:val="00C963AF"/>
    <w:rsid w:val="00C97039"/>
    <w:rsid w:val="00CA0FCB"/>
    <w:rsid w:val="00CA5C30"/>
    <w:rsid w:val="00CB24EE"/>
    <w:rsid w:val="00CB42D3"/>
    <w:rsid w:val="00CC20B9"/>
    <w:rsid w:val="00CC5A5D"/>
    <w:rsid w:val="00CC73C6"/>
    <w:rsid w:val="00CD3BDD"/>
    <w:rsid w:val="00CD3E77"/>
    <w:rsid w:val="00CE0203"/>
    <w:rsid w:val="00CF0B3E"/>
    <w:rsid w:val="00CF5837"/>
    <w:rsid w:val="00CF5EB0"/>
    <w:rsid w:val="00CF65AA"/>
    <w:rsid w:val="00CF6CD5"/>
    <w:rsid w:val="00D004C9"/>
    <w:rsid w:val="00D00A77"/>
    <w:rsid w:val="00D053CE"/>
    <w:rsid w:val="00D126BA"/>
    <w:rsid w:val="00D12B1E"/>
    <w:rsid w:val="00D12D33"/>
    <w:rsid w:val="00D14DA5"/>
    <w:rsid w:val="00D21970"/>
    <w:rsid w:val="00D2775E"/>
    <w:rsid w:val="00D27EFD"/>
    <w:rsid w:val="00D30B66"/>
    <w:rsid w:val="00D31E97"/>
    <w:rsid w:val="00D328DF"/>
    <w:rsid w:val="00D33926"/>
    <w:rsid w:val="00D34A7B"/>
    <w:rsid w:val="00D37C36"/>
    <w:rsid w:val="00D40740"/>
    <w:rsid w:val="00D4302F"/>
    <w:rsid w:val="00D45EDC"/>
    <w:rsid w:val="00D4618F"/>
    <w:rsid w:val="00D52E46"/>
    <w:rsid w:val="00D53288"/>
    <w:rsid w:val="00D56E91"/>
    <w:rsid w:val="00D63984"/>
    <w:rsid w:val="00D640BB"/>
    <w:rsid w:val="00D64594"/>
    <w:rsid w:val="00D6754B"/>
    <w:rsid w:val="00D746B1"/>
    <w:rsid w:val="00D75EFA"/>
    <w:rsid w:val="00D75FB9"/>
    <w:rsid w:val="00D76FE8"/>
    <w:rsid w:val="00D811ED"/>
    <w:rsid w:val="00D81C15"/>
    <w:rsid w:val="00D83521"/>
    <w:rsid w:val="00D863AD"/>
    <w:rsid w:val="00DA07FA"/>
    <w:rsid w:val="00DA6926"/>
    <w:rsid w:val="00DA7159"/>
    <w:rsid w:val="00DA739F"/>
    <w:rsid w:val="00DB703B"/>
    <w:rsid w:val="00DC0433"/>
    <w:rsid w:val="00DC74D2"/>
    <w:rsid w:val="00DD2718"/>
    <w:rsid w:val="00DD4212"/>
    <w:rsid w:val="00DE465A"/>
    <w:rsid w:val="00DE5E63"/>
    <w:rsid w:val="00DE694E"/>
    <w:rsid w:val="00DE6C7D"/>
    <w:rsid w:val="00DE6FC9"/>
    <w:rsid w:val="00DF07D7"/>
    <w:rsid w:val="00DF1057"/>
    <w:rsid w:val="00DF1E2B"/>
    <w:rsid w:val="00DF24EB"/>
    <w:rsid w:val="00DF3CC3"/>
    <w:rsid w:val="00DF3F6C"/>
    <w:rsid w:val="00DF6A6E"/>
    <w:rsid w:val="00DF7C48"/>
    <w:rsid w:val="00E00C37"/>
    <w:rsid w:val="00E03033"/>
    <w:rsid w:val="00E04620"/>
    <w:rsid w:val="00E100CC"/>
    <w:rsid w:val="00E128D1"/>
    <w:rsid w:val="00E16496"/>
    <w:rsid w:val="00E20D85"/>
    <w:rsid w:val="00E21745"/>
    <w:rsid w:val="00E22B13"/>
    <w:rsid w:val="00E24ECA"/>
    <w:rsid w:val="00E2555A"/>
    <w:rsid w:val="00E27501"/>
    <w:rsid w:val="00E30926"/>
    <w:rsid w:val="00E31086"/>
    <w:rsid w:val="00E31790"/>
    <w:rsid w:val="00E33A61"/>
    <w:rsid w:val="00E35CCC"/>
    <w:rsid w:val="00E36D0D"/>
    <w:rsid w:val="00E4233B"/>
    <w:rsid w:val="00E4649E"/>
    <w:rsid w:val="00E50A65"/>
    <w:rsid w:val="00E51EFC"/>
    <w:rsid w:val="00E52248"/>
    <w:rsid w:val="00E541D8"/>
    <w:rsid w:val="00E55B7A"/>
    <w:rsid w:val="00E67FEF"/>
    <w:rsid w:val="00E7014C"/>
    <w:rsid w:val="00E717A9"/>
    <w:rsid w:val="00E719E6"/>
    <w:rsid w:val="00E72B6A"/>
    <w:rsid w:val="00E77A35"/>
    <w:rsid w:val="00E80CB7"/>
    <w:rsid w:val="00E8164B"/>
    <w:rsid w:val="00E81A17"/>
    <w:rsid w:val="00E81FD1"/>
    <w:rsid w:val="00E82065"/>
    <w:rsid w:val="00E82385"/>
    <w:rsid w:val="00E83CBC"/>
    <w:rsid w:val="00E856B0"/>
    <w:rsid w:val="00E85EDA"/>
    <w:rsid w:val="00E87C65"/>
    <w:rsid w:val="00E93008"/>
    <w:rsid w:val="00E95A87"/>
    <w:rsid w:val="00EA07B5"/>
    <w:rsid w:val="00EC0B0A"/>
    <w:rsid w:val="00EC4F7D"/>
    <w:rsid w:val="00EC5042"/>
    <w:rsid w:val="00EC75E5"/>
    <w:rsid w:val="00ED09CD"/>
    <w:rsid w:val="00ED3717"/>
    <w:rsid w:val="00EE2C23"/>
    <w:rsid w:val="00EE42DD"/>
    <w:rsid w:val="00EE4697"/>
    <w:rsid w:val="00EE56E4"/>
    <w:rsid w:val="00EF49C6"/>
    <w:rsid w:val="00EF65B4"/>
    <w:rsid w:val="00EF7801"/>
    <w:rsid w:val="00F01A24"/>
    <w:rsid w:val="00F01A79"/>
    <w:rsid w:val="00F03C76"/>
    <w:rsid w:val="00F12043"/>
    <w:rsid w:val="00F125F5"/>
    <w:rsid w:val="00F12B79"/>
    <w:rsid w:val="00F2004A"/>
    <w:rsid w:val="00F20264"/>
    <w:rsid w:val="00F202ED"/>
    <w:rsid w:val="00F23399"/>
    <w:rsid w:val="00F23434"/>
    <w:rsid w:val="00F250ED"/>
    <w:rsid w:val="00F256A5"/>
    <w:rsid w:val="00F45E52"/>
    <w:rsid w:val="00F46CF5"/>
    <w:rsid w:val="00F51D27"/>
    <w:rsid w:val="00F526BB"/>
    <w:rsid w:val="00F527F2"/>
    <w:rsid w:val="00F53D5F"/>
    <w:rsid w:val="00F56180"/>
    <w:rsid w:val="00F618B8"/>
    <w:rsid w:val="00F654AB"/>
    <w:rsid w:val="00F72C49"/>
    <w:rsid w:val="00F73319"/>
    <w:rsid w:val="00F753CE"/>
    <w:rsid w:val="00F7577D"/>
    <w:rsid w:val="00F757F7"/>
    <w:rsid w:val="00F75B14"/>
    <w:rsid w:val="00F75C99"/>
    <w:rsid w:val="00F76110"/>
    <w:rsid w:val="00F82E14"/>
    <w:rsid w:val="00F85D63"/>
    <w:rsid w:val="00F85E9E"/>
    <w:rsid w:val="00F86C8A"/>
    <w:rsid w:val="00F92DFE"/>
    <w:rsid w:val="00F95CCF"/>
    <w:rsid w:val="00F967C9"/>
    <w:rsid w:val="00F97CD9"/>
    <w:rsid w:val="00FA0262"/>
    <w:rsid w:val="00FA124C"/>
    <w:rsid w:val="00FA6F53"/>
    <w:rsid w:val="00FA75DD"/>
    <w:rsid w:val="00FA79F1"/>
    <w:rsid w:val="00FB0D10"/>
    <w:rsid w:val="00FB2666"/>
    <w:rsid w:val="00FB2889"/>
    <w:rsid w:val="00FB68BA"/>
    <w:rsid w:val="00FC1D84"/>
    <w:rsid w:val="00FC1FA1"/>
    <w:rsid w:val="00FC251A"/>
    <w:rsid w:val="00FC2688"/>
    <w:rsid w:val="00FC66C7"/>
    <w:rsid w:val="00FC76D5"/>
    <w:rsid w:val="00FC79D9"/>
    <w:rsid w:val="00FD3D2D"/>
    <w:rsid w:val="00FD3DA8"/>
    <w:rsid w:val="00FD42E6"/>
    <w:rsid w:val="00FE061F"/>
    <w:rsid w:val="00FE161C"/>
    <w:rsid w:val="00FE414A"/>
    <w:rsid w:val="00FE5307"/>
    <w:rsid w:val="00FE74D2"/>
    <w:rsid w:val="00FE77F0"/>
  </w:rsids>
  <m:mathPr>
    <m:mathFont m:val="Cambria Math"/>
    <m:brkBin m:val="before"/>
    <m:brkBinSub m:val="--"/>
    <m:smallFrac m:val="0"/>
    <m:dispDef/>
    <m:lMargin m:val="0"/>
    <m:rMargin m:val="0"/>
    <m:defJc m:val="centerGroup"/>
    <m:wrapIndent m:val="1440"/>
    <m:intLim m:val="undOvr"/>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D63C"/>
  <w15:docId w15:val="{C8BE23EC-E392-4748-8A78-E8454D2F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11C2"/>
    <w:pPr>
      <w:spacing w:after="0" w:line="360" w:lineRule="auto"/>
      <w:ind w:firstLine="714"/>
      <w:jc w:val="both"/>
    </w:pPr>
    <w:rPr>
      <w:rFonts w:ascii="Book Antiqua" w:hAnsi="Book Antiqua"/>
      <w:sz w:val="24"/>
    </w:rPr>
  </w:style>
  <w:style w:type="paragraph" w:styleId="Nadpis1">
    <w:name w:val="heading 1"/>
    <w:basedOn w:val="Normln"/>
    <w:next w:val="Bezmezer"/>
    <w:link w:val="Nadpis1Char"/>
    <w:uiPriority w:val="9"/>
    <w:qFormat/>
    <w:rsid w:val="00E95A87"/>
    <w:pPr>
      <w:keepNext/>
      <w:keepLines/>
      <w:spacing w:before="240"/>
      <w:ind w:firstLine="0"/>
      <w:outlineLvl w:val="0"/>
    </w:pPr>
    <w:rPr>
      <w:rFonts w:ascii="Verdana" w:eastAsiaTheme="majorEastAsia" w:hAnsi="Verdana" w:cstheme="majorBidi"/>
      <w:b/>
      <w:color w:val="000000" w:themeColor="text1"/>
      <w:sz w:val="32"/>
      <w:szCs w:val="32"/>
    </w:rPr>
  </w:style>
  <w:style w:type="paragraph" w:styleId="Nadpis2">
    <w:name w:val="heading 2"/>
    <w:basedOn w:val="Nadpis1"/>
    <w:next w:val="Bezmezer"/>
    <w:link w:val="Nadpis2Char"/>
    <w:uiPriority w:val="9"/>
    <w:unhideWhenUsed/>
    <w:qFormat/>
    <w:rsid w:val="006846E7"/>
    <w:pPr>
      <w:outlineLvl w:val="1"/>
    </w:pPr>
    <w:rPr>
      <w:sz w:val="28"/>
      <w:szCs w:val="26"/>
    </w:rPr>
  </w:style>
  <w:style w:type="paragraph" w:styleId="Nadpis3">
    <w:name w:val="heading 3"/>
    <w:basedOn w:val="Nadpis2"/>
    <w:next w:val="Bezmezer"/>
    <w:link w:val="Nadpis3Char"/>
    <w:uiPriority w:val="9"/>
    <w:unhideWhenUsed/>
    <w:qFormat/>
    <w:rsid w:val="00655CB2"/>
    <w:pPr>
      <w:outlineLvl w:val="2"/>
    </w:pPr>
  </w:style>
  <w:style w:type="paragraph" w:styleId="Nadpis4">
    <w:name w:val="heading 4"/>
    <w:basedOn w:val="Normln"/>
    <w:next w:val="Normln"/>
    <w:link w:val="Nadpis4Char"/>
    <w:uiPriority w:val="9"/>
    <w:semiHidden/>
    <w:unhideWhenUsed/>
    <w:qFormat/>
    <w:rsid w:val="00DF07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5A87"/>
    <w:rPr>
      <w:rFonts w:ascii="Verdana" w:eastAsiaTheme="majorEastAsia" w:hAnsi="Verdana" w:cstheme="majorBidi"/>
      <w:b/>
      <w:color w:val="000000" w:themeColor="text1"/>
      <w:sz w:val="32"/>
      <w:szCs w:val="32"/>
    </w:rPr>
  </w:style>
  <w:style w:type="paragraph" w:styleId="Nzev">
    <w:name w:val="Title"/>
    <w:basedOn w:val="Normln"/>
    <w:next w:val="Normln"/>
    <w:link w:val="NzevChar"/>
    <w:uiPriority w:val="10"/>
    <w:qFormat/>
    <w:rsid w:val="00E95A87"/>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95A87"/>
    <w:rPr>
      <w:rFonts w:asciiTheme="majorHAnsi" w:eastAsiaTheme="majorEastAsia" w:hAnsiTheme="majorHAnsi" w:cstheme="majorBidi"/>
      <w:spacing w:val="-10"/>
      <w:kern w:val="28"/>
      <w:sz w:val="56"/>
      <w:szCs w:val="56"/>
    </w:rPr>
  </w:style>
  <w:style w:type="paragraph" w:styleId="Bezmezer">
    <w:name w:val="No Spacing"/>
    <w:aliases w:val="Bez odsazení"/>
    <w:basedOn w:val="Normln"/>
    <w:next w:val="Normln"/>
    <w:uiPriority w:val="1"/>
    <w:qFormat/>
    <w:rsid w:val="00D30B66"/>
    <w:pPr>
      <w:ind w:firstLine="0"/>
    </w:pPr>
  </w:style>
  <w:style w:type="character" w:customStyle="1" w:styleId="Nadpis2Char">
    <w:name w:val="Nadpis 2 Char"/>
    <w:basedOn w:val="Standardnpsmoodstavce"/>
    <w:link w:val="Nadpis2"/>
    <w:uiPriority w:val="9"/>
    <w:rsid w:val="006846E7"/>
    <w:rPr>
      <w:rFonts w:ascii="Verdana" w:eastAsiaTheme="majorEastAsia" w:hAnsi="Verdana" w:cstheme="majorBidi"/>
      <w:b/>
      <w:color w:val="000000" w:themeColor="text1"/>
      <w:sz w:val="28"/>
      <w:szCs w:val="26"/>
    </w:rPr>
  </w:style>
  <w:style w:type="paragraph" w:styleId="Zhlav">
    <w:name w:val="header"/>
    <w:basedOn w:val="Normln"/>
    <w:link w:val="ZhlavChar"/>
    <w:uiPriority w:val="99"/>
    <w:unhideWhenUsed/>
    <w:rsid w:val="000F32CE"/>
    <w:pPr>
      <w:tabs>
        <w:tab w:val="center" w:pos="4536"/>
        <w:tab w:val="right" w:pos="9072"/>
      </w:tabs>
      <w:spacing w:line="240" w:lineRule="auto"/>
    </w:pPr>
  </w:style>
  <w:style w:type="character" w:customStyle="1" w:styleId="ZhlavChar">
    <w:name w:val="Záhlaví Char"/>
    <w:basedOn w:val="Standardnpsmoodstavce"/>
    <w:link w:val="Zhlav"/>
    <w:uiPriority w:val="99"/>
    <w:rsid w:val="000F32CE"/>
    <w:rPr>
      <w:rFonts w:ascii="Georgia" w:hAnsi="Georgia"/>
      <w:sz w:val="24"/>
    </w:rPr>
  </w:style>
  <w:style w:type="paragraph" w:styleId="Zpat">
    <w:name w:val="footer"/>
    <w:basedOn w:val="Normln"/>
    <w:link w:val="ZpatChar"/>
    <w:uiPriority w:val="99"/>
    <w:unhideWhenUsed/>
    <w:rsid w:val="000F32CE"/>
    <w:pPr>
      <w:tabs>
        <w:tab w:val="center" w:pos="4536"/>
        <w:tab w:val="right" w:pos="9072"/>
      </w:tabs>
      <w:spacing w:line="240" w:lineRule="auto"/>
    </w:pPr>
  </w:style>
  <w:style w:type="character" w:customStyle="1" w:styleId="ZpatChar">
    <w:name w:val="Zápatí Char"/>
    <w:basedOn w:val="Standardnpsmoodstavce"/>
    <w:link w:val="Zpat"/>
    <w:uiPriority w:val="99"/>
    <w:rsid w:val="000F32CE"/>
    <w:rPr>
      <w:rFonts w:ascii="Georgia" w:hAnsi="Georgia"/>
      <w:sz w:val="24"/>
    </w:rPr>
  </w:style>
  <w:style w:type="paragraph" w:styleId="Odstavecseseznamem">
    <w:name w:val="List Paragraph"/>
    <w:basedOn w:val="Normln"/>
    <w:uiPriority w:val="34"/>
    <w:qFormat/>
    <w:rsid w:val="00851E77"/>
    <w:pPr>
      <w:ind w:left="720"/>
      <w:contextualSpacing/>
    </w:pPr>
  </w:style>
  <w:style w:type="numbering" w:customStyle="1" w:styleId="Style1">
    <w:name w:val="Style1"/>
    <w:uiPriority w:val="99"/>
    <w:rsid w:val="00F12B79"/>
    <w:pPr>
      <w:numPr>
        <w:numId w:val="6"/>
      </w:numPr>
    </w:pPr>
  </w:style>
  <w:style w:type="character" w:customStyle="1" w:styleId="Nadpis3Char">
    <w:name w:val="Nadpis 3 Char"/>
    <w:basedOn w:val="Standardnpsmoodstavce"/>
    <w:link w:val="Nadpis3"/>
    <w:uiPriority w:val="9"/>
    <w:rsid w:val="00655CB2"/>
    <w:rPr>
      <w:rFonts w:ascii="Verdana" w:eastAsiaTheme="majorEastAsia" w:hAnsi="Verdana" w:cstheme="majorBidi"/>
      <w:b/>
      <w:color w:val="000000" w:themeColor="text1"/>
      <w:sz w:val="28"/>
      <w:szCs w:val="26"/>
    </w:rPr>
  </w:style>
  <w:style w:type="paragraph" w:styleId="Textvysvtlivek">
    <w:name w:val="endnote text"/>
    <w:basedOn w:val="Normln"/>
    <w:link w:val="TextvysvtlivekChar"/>
    <w:uiPriority w:val="99"/>
    <w:semiHidden/>
    <w:unhideWhenUsed/>
    <w:rsid w:val="00DF07D7"/>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DF07D7"/>
    <w:rPr>
      <w:rFonts w:ascii="Book Antiqua" w:hAnsi="Book Antiqua"/>
      <w:sz w:val="20"/>
      <w:szCs w:val="20"/>
    </w:rPr>
  </w:style>
  <w:style w:type="character" w:styleId="Odkaznavysvtlivky">
    <w:name w:val="endnote reference"/>
    <w:basedOn w:val="Standardnpsmoodstavce"/>
    <w:uiPriority w:val="99"/>
    <w:semiHidden/>
    <w:unhideWhenUsed/>
    <w:rsid w:val="00DF07D7"/>
    <w:rPr>
      <w:vertAlign w:val="superscript"/>
    </w:rPr>
  </w:style>
  <w:style w:type="paragraph" w:styleId="Textpoznpodarou">
    <w:name w:val="footnote text"/>
    <w:basedOn w:val="Normln"/>
    <w:link w:val="TextpoznpodarouChar"/>
    <w:uiPriority w:val="99"/>
    <w:semiHidden/>
    <w:unhideWhenUsed/>
    <w:rsid w:val="001511C2"/>
    <w:pPr>
      <w:spacing w:line="240" w:lineRule="auto"/>
      <w:ind w:firstLine="0"/>
    </w:pPr>
    <w:rPr>
      <w:sz w:val="20"/>
      <w:szCs w:val="20"/>
    </w:rPr>
  </w:style>
  <w:style w:type="character" w:customStyle="1" w:styleId="TextpoznpodarouChar">
    <w:name w:val="Text pozn. pod čarou Char"/>
    <w:basedOn w:val="Standardnpsmoodstavce"/>
    <w:link w:val="Textpoznpodarou"/>
    <w:uiPriority w:val="99"/>
    <w:semiHidden/>
    <w:rsid w:val="001511C2"/>
    <w:rPr>
      <w:rFonts w:ascii="Book Antiqua" w:hAnsi="Book Antiqua"/>
      <w:sz w:val="20"/>
      <w:szCs w:val="20"/>
    </w:rPr>
  </w:style>
  <w:style w:type="character" w:styleId="Znakapoznpodarou">
    <w:name w:val="footnote reference"/>
    <w:basedOn w:val="Standardnpsmoodstavce"/>
    <w:uiPriority w:val="99"/>
    <w:semiHidden/>
    <w:unhideWhenUsed/>
    <w:rsid w:val="00DF07D7"/>
    <w:rPr>
      <w:vertAlign w:val="superscript"/>
    </w:rPr>
  </w:style>
  <w:style w:type="character" w:customStyle="1" w:styleId="Nadpis4Char">
    <w:name w:val="Nadpis 4 Char"/>
    <w:basedOn w:val="Standardnpsmoodstavce"/>
    <w:link w:val="Nadpis4"/>
    <w:uiPriority w:val="9"/>
    <w:semiHidden/>
    <w:rsid w:val="00DF07D7"/>
    <w:rPr>
      <w:rFonts w:asciiTheme="majorHAnsi" w:eastAsiaTheme="majorEastAsia" w:hAnsiTheme="majorHAnsi" w:cstheme="majorBidi"/>
      <w:i/>
      <w:iCs/>
      <w:color w:val="2E74B5" w:themeColor="accent1" w:themeShade="BF"/>
      <w:sz w:val="24"/>
    </w:rPr>
  </w:style>
  <w:style w:type="paragraph" w:styleId="Nadpisobsahu">
    <w:name w:val="TOC Heading"/>
    <w:basedOn w:val="Nadpis1"/>
    <w:next w:val="Normln"/>
    <w:uiPriority w:val="39"/>
    <w:unhideWhenUsed/>
    <w:qFormat/>
    <w:rsid w:val="009611DB"/>
    <w:pPr>
      <w:spacing w:line="259" w:lineRule="auto"/>
      <w:jc w:val="left"/>
      <w:outlineLvl w:val="9"/>
    </w:pPr>
    <w:rPr>
      <w:rFonts w:asciiTheme="majorHAnsi" w:hAnsiTheme="majorHAnsi"/>
      <w:b w:val="0"/>
      <w:color w:val="2E74B5" w:themeColor="accent1" w:themeShade="BF"/>
    </w:rPr>
  </w:style>
  <w:style w:type="paragraph" w:styleId="Obsah1">
    <w:name w:val="toc 1"/>
    <w:basedOn w:val="Normln"/>
    <w:next w:val="Normln"/>
    <w:autoRedefine/>
    <w:uiPriority w:val="39"/>
    <w:unhideWhenUsed/>
    <w:rsid w:val="009611DB"/>
    <w:pPr>
      <w:spacing w:after="100"/>
    </w:pPr>
  </w:style>
  <w:style w:type="paragraph" w:styleId="Obsah2">
    <w:name w:val="toc 2"/>
    <w:basedOn w:val="Normln"/>
    <w:next w:val="Normln"/>
    <w:autoRedefine/>
    <w:uiPriority w:val="39"/>
    <w:unhideWhenUsed/>
    <w:rsid w:val="009611DB"/>
    <w:pPr>
      <w:spacing w:after="100"/>
      <w:ind w:left="240"/>
    </w:pPr>
  </w:style>
  <w:style w:type="paragraph" w:styleId="Obsah3">
    <w:name w:val="toc 3"/>
    <w:basedOn w:val="Normln"/>
    <w:next w:val="Normln"/>
    <w:autoRedefine/>
    <w:uiPriority w:val="39"/>
    <w:unhideWhenUsed/>
    <w:rsid w:val="009611DB"/>
    <w:pPr>
      <w:spacing w:after="100"/>
      <w:ind w:left="480"/>
    </w:pPr>
  </w:style>
  <w:style w:type="character" w:styleId="Hypertextovodkaz">
    <w:name w:val="Hyperlink"/>
    <w:basedOn w:val="Standardnpsmoodstavce"/>
    <w:uiPriority w:val="99"/>
    <w:unhideWhenUsed/>
    <w:rsid w:val="009611DB"/>
    <w:rPr>
      <w:color w:val="0563C1" w:themeColor="hyperlink"/>
      <w:u w:val="single"/>
    </w:rPr>
  </w:style>
  <w:style w:type="paragraph" w:styleId="Titulek">
    <w:name w:val="caption"/>
    <w:basedOn w:val="Normln"/>
    <w:next w:val="Normln"/>
    <w:uiPriority w:val="35"/>
    <w:unhideWhenUsed/>
    <w:qFormat/>
    <w:rsid w:val="00363A02"/>
    <w:pPr>
      <w:spacing w:before="60" w:after="200" w:line="240" w:lineRule="auto"/>
      <w:ind w:firstLine="0"/>
    </w:pPr>
    <w:rPr>
      <w:iCs/>
      <w:sz w:val="20"/>
      <w:szCs w:val="18"/>
    </w:rPr>
  </w:style>
  <w:style w:type="table" w:styleId="Mkatabulky">
    <w:name w:val="Table Grid"/>
    <w:basedOn w:val="Normlntabulka"/>
    <w:uiPriority w:val="39"/>
    <w:rsid w:val="0052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F5EB0"/>
    <w:rPr>
      <w:color w:val="808080"/>
    </w:rPr>
  </w:style>
  <w:style w:type="paragraph" w:styleId="Citt">
    <w:name w:val="Quote"/>
    <w:basedOn w:val="Normln"/>
    <w:next w:val="Normln"/>
    <w:link w:val="CittChar"/>
    <w:uiPriority w:val="29"/>
    <w:qFormat/>
    <w:rsid w:val="00E93008"/>
    <w:pPr>
      <w:spacing w:before="200" w:after="160"/>
      <w:ind w:left="862" w:right="862" w:firstLine="0"/>
      <w:jc w:val="center"/>
    </w:pPr>
    <w:rPr>
      <w:iCs/>
      <w:color w:val="404040" w:themeColor="text1" w:themeTint="BF"/>
    </w:rPr>
  </w:style>
  <w:style w:type="character" w:customStyle="1" w:styleId="CittChar">
    <w:name w:val="Citát Char"/>
    <w:basedOn w:val="Standardnpsmoodstavce"/>
    <w:link w:val="Citt"/>
    <w:uiPriority w:val="29"/>
    <w:rsid w:val="00E93008"/>
    <w:rPr>
      <w:rFonts w:ascii="Book Antiqua" w:hAnsi="Book Antiqua"/>
      <w:iCs/>
      <w:color w:val="404040" w:themeColor="text1" w:themeTint="BF"/>
      <w:sz w:val="24"/>
    </w:rPr>
  </w:style>
  <w:style w:type="paragraph" w:styleId="Textbubliny">
    <w:name w:val="Balloon Text"/>
    <w:basedOn w:val="Normln"/>
    <w:link w:val="TextbublinyChar"/>
    <w:uiPriority w:val="99"/>
    <w:semiHidden/>
    <w:unhideWhenUsed/>
    <w:rsid w:val="00B473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733C"/>
    <w:rPr>
      <w:rFonts w:ascii="Tahoma" w:hAnsi="Tahoma" w:cs="Tahoma"/>
      <w:sz w:val="16"/>
      <w:szCs w:val="16"/>
    </w:rPr>
  </w:style>
  <w:style w:type="character" w:styleId="Odkaznakoment">
    <w:name w:val="annotation reference"/>
    <w:basedOn w:val="Standardnpsmoodstavce"/>
    <w:uiPriority w:val="99"/>
    <w:semiHidden/>
    <w:unhideWhenUsed/>
    <w:rsid w:val="00B4733C"/>
    <w:rPr>
      <w:sz w:val="16"/>
      <w:szCs w:val="16"/>
    </w:rPr>
  </w:style>
  <w:style w:type="paragraph" w:styleId="Textkomente">
    <w:name w:val="annotation text"/>
    <w:basedOn w:val="Normln"/>
    <w:link w:val="TextkomenteChar"/>
    <w:uiPriority w:val="99"/>
    <w:semiHidden/>
    <w:unhideWhenUsed/>
    <w:rsid w:val="00B4733C"/>
    <w:pPr>
      <w:spacing w:line="240" w:lineRule="auto"/>
    </w:pPr>
    <w:rPr>
      <w:sz w:val="20"/>
      <w:szCs w:val="20"/>
    </w:rPr>
  </w:style>
  <w:style w:type="character" w:customStyle="1" w:styleId="TextkomenteChar">
    <w:name w:val="Text komentáře Char"/>
    <w:basedOn w:val="Standardnpsmoodstavce"/>
    <w:link w:val="Textkomente"/>
    <w:uiPriority w:val="99"/>
    <w:semiHidden/>
    <w:rsid w:val="00B4733C"/>
    <w:rPr>
      <w:rFonts w:ascii="Book Antiqua" w:hAnsi="Book Antiqua"/>
      <w:sz w:val="20"/>
      <w:szCs w:val="20"/>
    </w:rPr>
  </w:style>
  <w:style w:type="paragraph" w:styleId="Pedmtkomente">
    <w:name w:val="annotation subject"/>
    <w:basedOn w:val="Textkomente"/>
    <w:next w:val="Textkomente"/>
    <w:link w:val="PedmtkomenteChar"/>
    <w:uiPriority w:val="99"/>
    <w:semiHidden/>
    <w:unhideWhenUsed/>
    <w:rsid w:val="00B4733C"/>
    <w:rPr>
      <w:b/>
      <w:bCs/>
    </w:rPr>
  </w:style>
  <w:style w:type="character" w:customStyle="1" w:styleId="PedmtkomenteChar">
    <w:name w:val="Předmět komentáře Char"/>
    <w:basedOn w:val="TextkomenteChar"/>
    <w:link w:val="Pedmtkomente"/>
    <w:uiPriority w:val="99"/>
    <w:semiHidden/>
    <w:rsid w:val="00B4733C"/>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6306">
      <w:bodyDiv w:val="1"/>
      <w:marLeft w:val="0"/>
      <w:marRight w:val="0"/>
      <w:marTop w:val="0"/>
      <w:marBottom w:val="0"/>
      <w:divBdr>
        <w:top w:val="none" w:sz="0" w:space="0" w:color="auto"/>
        <w:left w:val="none" w:sz="0" w:space="0" w:color="auto"/>
        <w:bottom w:val="none" w:sz="0" w:space="0" w:color="auto"/>
        <w:right w:val="none" w:sz="0" w:space="0" w:color="auto"/>
      </w:divBdr>
    </w:div>
    <w:div w:id="39670739">
      <w:bodyDiv w:val="1"/>
      <w:marLeft w:val="0"/>
      <w:marRight w:val="0"/>
      <w:marTop w:val="0"/>
      <w:marBottom w:val="0"/>
      <w:divBdr>
        <w:top w:val="none" w:sz="0" w:space="0" w:color="auto"/>
        <w:left w:val="none" w:sz="0" w:space="0" w:color="auto"/>
        <w:bottom w:val="none" w:sz="0" w:space="0" w:color="auto"/>
        <w:right w:val="none" w:sz="0" w:space="0" w:color="auto"/>
      </w:divBdr>
    </w:div>
    <w:div w:id="50004968">
      <w:bodyDiv w:val="1"/>
      <w:marLeft w:val="0"/>
      <w:marRight w:val="0"/>
      <w:marTop w:val="0"/>
      <w:marBottom w:val="0"/>
      <w:divBdr>
        <w:top w:val="none" w:sz="0" w:space="0" w:color="auto"/>
        <w:left w:val="none" w:sz="0" w:space="0" w:color="auto"/>
        <w:bottom w:val="none" w:sz="0" w:space="0" w:color="auto"/>
        <w:right w:val="none" w:sz="0" w:space="0" w:color="auto"/>
      </w:divBdr>
    </w:div>
    <w:div w:id="52196773">
      <w:bodyDiv w:val="1"/>
      <w:marLeft w:val="0"/>
      <w:marRight w:val="0"/>
      <w:marTop w:val="0"/>
      <w:marBottom w:val="0"/>
      <w:divBdr>
        <w:top w:val="none" w:sz="0" w:space="0" w:color="auto"/>
        <w:left w:val="none" w:sz="0" w:space="0" w:color="auto"/>
        <w:bottom w:val="none" w:sz="0" w:space="0" w:color="auto"/>
        <w:right w:val="none" w:sz="0" w:space="0" w:color="auto"/>
      </w:divBdr>
    </w:div>
    <w:div w:id="62455919">
      <w:bodyDiv w:val="1"/>
      <w:marLeft w:val="0"/>
      <w:marRight w:val="0"/>
      <w:marTop w:val="0"/>
      <w:marBottom w:val="0"/>
      <w:divBdr>
        <w:top w:val="none" w:sz="0" w:space="0" w:color="auto"/>
        <w:left w:val="none" w:sz="0" w:space="0" w:color="auto"/>
        <w:bottom w:val="none" w:sz="0" w:space="0" w:color="auto"/>
        <w:right w:val="none" w:sz="0" w:space="0" w:color="auto"/>
      </w:divBdr>
    </w:div>
    <w:div w:id="65997028">
      <w:bodyDiv w:val="1"/>
      <w:marLeft w:val="0"/>
      <w:marRight w:val="0"/>
      <w:marTop w:val="0"/>
      <w:marBottom w:val="0"/>
      <w:divBdr>
        <w:top w:val="none" w:sz="0" w:space="0" w:color="auto"/>
        <w:left w:val="none" w:sz="0" w:space="0" w:color="auto"/>
        <w:bottom w:val="none" w:sz="0" w:space="0" w:color="auto"/>
        <w:right w:val="none" w:sz="0" w:space="0" w:color="auto"/>
      </w:divBdr>
    </w:div>
    <w:div w:id="121308241">
      <w:bodyDiv w:val="1"/>
      <w:marLeft w:val="0"/>
      <w:marRight w:val="0"/>
      <w:marTop w:val="0"/>
      <w:marBottom w:val="0"/>
      <w:divBdr>
        <w:top w:val="none" w:sz="0" w:space="0" w:color="auto"/>
        <w:left w:val="none" w:sz="0" w:space="0" w:color="auto"/>
        <w:bottom w:val="none" w:sz="0" w:space="0" w:color="auto"/>
        <w:right w:val="none" w:sz="0" w:space="0" w:color="auto"/>
      </w:divBdr>
      <w:divsChild>
        <w:div w:id="767579232">
          <w:marLeft w:val="0"/>
          <w:marRight w:val="0"/>
          <w:marTop w:val="0"/>
          <w:marBottom w:val="0"/>
          <w:divBdr>
            <w:top w:val="none" w:sz="0" w:space="0" w:color="auto"/>
            <w:left w:val="none" w:sz="0" w:space="0" w:color="auto"/>
            <w:bottom w:val="none" w:sz="0" w:space="0" w:color="auto"/>
            <w:right w:val="none" w:sz="0" w:space="0" w:color="auto"/>
          </w:divBdr>
        </w:div>
      </w:divsChild>
    </w:div>
    <w:div w:id="136193560">
      <w:bodyDiv w:val="1"/>
      <w:marLeft w:val="0"/>
      <w:marRight w:val="0"/>
      <w:marTop w:val="0"/>
      <w:marBottom w:val="0"/>
      <w:divBdr>
        <w:top w:val="none" w:sz="0" w:space="0" w:color="auto"/>
        <w:left w:val="none" w:sz="0" w:space="0" w:color="auto"/>
        <w:bottom w:val="none" w:sz="0" w:space="0" w:color="auto"/>
        <w:right w:val="none" w:sz="0" w:space="0" w:color="auto"/>
      </w:divBdr>
    </w:div>
    <w:div w:id="171843368">
      <w:bodyDiv w:val="1"/>
      <w:marLeft w:val="0"/>
      <w:marRight w:val="0"/>
      <w:marTop w:val="0"/>
      <w:marBottom w:val="0"/>
      <w:divBdr>
        <w:top w:val="none" w:sz="0" w:space="0" w:color="auto"/>
        <w:left w:val="none" w:sz="0" w:space="0" w:color="auto"/>
        <w:bottom w:val="none" w:sz="0" w:space="0" w:color="auto"/>
        <w:right w:val="none" w:sz="0" w:space="0" w:color="auto"/>
      </w:divBdr>
    </w:div>
    <w:div w:id="172695693">
      <w:bodyDiv w:val="1"/>
      <w:marLeft w:val="0"/>
      <w:marRight w:val="0"/>
      <w:marTop w:val="0"/>
      <w:marBottom w:val="0"/>
      <w:divBdr>
        <w:top w:val="none" w:sz="0" w:space="0" w:color="auto"/>
        <w:left w:val="none" w:sz="0" w:space="0" w:color="auto"/>
        <w:bottom w:val="none" w:sz="0" w:space="0" w:color="auto"/>
        <w:right w:val="none" w:sz="0" w:space="0" w:color="auto"/>
      </w:divBdr>
      <w:divsChild>
        <w:div w:id="1446729100">
          <w:marLeft w:val="0"/>
          <w:marRight w:val="0"/>
          <w:marTop w:val="0"/>
          <w:marBottom w:val="0"/>
          <w:divBdr>
            <w:top w:val="none" w:sz="0" w:space="0" w:color="auto"/>
            <w:left w:val="none" w:sz="0" w:space="0" w:color="auto"/>
            <w:bottom w:val="none" w:sz="0" w:space="0" w:color="auto"/>
            <w:right w:val="none" w:sz="0" w:space="0" w:color="auto"/>
          </w:divBdr>
        </w:div>
      </w:divsChild>
    </w:div>
    <w:div w:id="250285897">
      <w:bodyDiv w:val="1"/>
      <w:marLeft w:val="0"/>
      <w:marRight w:val="0"/>
      <w:marTop w:val="0"/>
      <w:marBottom w:val="0"/>
      <w:divBdr>
        <w:top w:val="none" w:sz="0" w:space="0" w:color="auto"/>
        <w:left w:val="none" w:sz="0" w:space="0" w:color="auto"/>
        <w:bottom w:val="none" w:sz="0" w:space="0" w:color="auto"/>
        <w:right w:val="none" w:sz="0" w:space="0" w:color="auto"/>
      </w:divBdr>
    </w:div>
    <w:div w:id="394470281">
      <w:bodyDiv w:val="1"/>
      <w:marLeft w:val="0"/>
      <w:marRight w:val="0"/>
      <w:marTop w:val="0"/>
      <w:marBottom w:val="0"/>
      <w:divBdr>
        <w:top w:val="none" w:sz="0" w:space="0" w:color="auto"/>
        <w:left w:val="none" w:sz="0" w:space="0" w:color="auto"/>
        <w:bottom w:val="none" w:sz="0" w:space="0" w:color="auto"/>
        <w:right w:val="none" w:sz="0" w:space="0" w:color="auto"/>
      </w:divBdr>
    </w:div>
    <w:div w:id="408618990">
      <w:bodyDiv w:val="1"/>
      <w:marLeft w:val="0"/>
      <w:marRight w:val="0"/>
      <w:marTop w:val="0"/>
      <w:marBottom w:val="0"/>
      <w:divBdr>
        <w:top w:val="none" w:sz="0" w:space="0" w:color="auto"/>
        <w:left w:val="none" w:sz="0" w:space="0" w:color="auto"/>
        <w:bottom w:val="none" w:sz="0" w:space="0" w:color="auto"/>
        <w:right w:val="none" w:sz="0" w:space="0" w:color="auto"/>
      </w:divBdr>
    </w:div>
    <w:div w:id="441189231">
      <w:bodyDiv w:val="1"/>
      <w:marLeft w:val="0"/>
      <w:marRight w:val="0"/>
      <w:marTop w:val="0"/>
      <w:marBottom w:val="0"/>
      <w:divBdr>
        <w:top w:val="none" w:sz="0" w:space="0" w:color="auto"/>
        <w:left w:val="none" w:sz="0" w:space="0" w:color="auto"/>
        <w:bottom w:val="none" w:sz="0" w:space="0" w:color="auto"/>
        <w:right w:val="none" w:sz="0" w:space="0" w:color="auto"/>
      </w:divBdr>
    </w:div>
    <w:div w:id="464275828">
      <w:bodyDiv w:val="1"/>
      <w:marLeft w:val="0"/>
      <w:marRight w:val="0"/>
      <w:marTop w:val="0"/>
      <w:marBottom w:val="0"/>
      <w:divBdr>
        <w:top w:val="none" w:sz="0" w:space="0" w:color="auto"/>
        <w:left w:val="none" w:sz="0" w:space="0" w:color="auto"/>
        <w:bottom w:val="none" w:sz="0" w:space="0" w:color="auto"/>
        <w:right w:val="none" w:sz="0" w:space="0" w:color="auto"/>
      </w:divBdr>
    </w:div>
    <w:div w:id="487095572">
      <w:bodyDiv w:val="1"/>
      <w:marLeft w:val="0"/>
      <w:marRight w:val="0"/>
      <w:marTop w:val="0"/>
      <w:marBottom w:val="0"/>
      <w:divBdr>
        <w:top w:val="none" w:sz="0" w:space="0" w:color="auto"/>
        <w:left w:val="none" w:sz="0" w:space="0" w:color="auto"/>
        <w:bottom w:val="none" w:sz="0" w:space="0" w:color="auto"/>
        <w:right w:val="none" w:sz="0" w:space="0" w:color="auto"/>
      </w:divBdr>
    </w:div>
    <w:div w:id="501891756">
      <w:bodyDiv w:val="1"/>
      <w:marLeft w:val="0"/>
      <w:marRight w:val="0"/>
      <w:marTop w:val="0"/>
      <w:marBottom w:val="0"/>
      <w:divBdr>
        <w:top w:val="none" w:sz="0" w:space="0" w:color="auto"/>
        <w:left w:val="none" w:sz="0" w:space="0" w:color="auto"/>
        <w:bottom w:val="none" w:sz="0" w:space="0" w:color="auto"/>
        <w:right w:val="none" w:sz="0" w:space="0" w:color="auto"/>
      </w:divBdr>
    </w:div>
    <w:div w:id="621762274">
      <w:bodyDiv w:val="1"/>
      <w:marLeft w:val="0"/>
      <w:marRight w:val="0"/>
      <w:marTop w:val="0"/>
      <w:marBottom w:val="0"/>
      <w:divBdr>
        <w:top w:val="none" w:sz="0" w:space="0" w:color="auto"/>
        <w:left w:val="none" w:sz="0" w:space="0" w:color="auto"/>
        <w:bottom w:val="none" w:sz="0" w:space="0" w:color="auto"/>
        <w:right w:val="none" w:sz="0" w:space="0" w:color="auto"/>
      </w:divBdr>
    </w:div>
    <w:div w:id="638194940">
      <w:bodyDiv w:val="1"/>
      <w:marLeft w:val="0"/>
      <w:marRight w:val="0"/>
      <w:marTop w:val="0"/>
      <w:marBottom w:val="0"/>
      <w:divBdr>
        <w:top w:val="none" w:sz="0" w:space="0" w:color="auto"/>
        <w:left w:val="none" w:sz="0" w:space="0" w:color="auto"/>
        <w:bottom w:val="none" w:sz="0" w:space="0" w:color="auto"/>
        <w:right w:val="none" w:sz="0" w:space="0" w:color="auto"/>
      </w:divBdr>
    </w:div>
    <w:div w:id="688871792">
      <w:bodyDiv w:val="1"/>
      <w:marLeft w:val="0"/>
      <w:marRight w:val="0"/>
      <w:marTop w:val="0"/>
      <w:marBottom w:val="0"/>
      <w:divBdr>
        <w:top w:val="none" w:sz="0" w:space="0" w:color="auto"/>
        <w:left w:val="none" w:sz="0" w:space="0" w:color="auto"/>
        <w:bottom w:val="none" w:sz="0" w:space="0" w:color="auto"/>
        <w:right w:val="none" w:sz="0" w:space="0" w:color="auto"/>
      </w:divBdr>
    </w:div>
    <w:div w:id="930698737">
      <w:bodyDiv w:val="1"/>
      <w:marLeft w:val="0"/>
      <w:marRight w:val="0"/>
      <w:marTop w:val="0"/>
      <w:marBottom w:val="0"/>
      <w:divBdr>
        <w:top w:val="none" w:sz="0" w:space="0" w:color="auto"/>
        <w:left w:val="none" w:sz="0" w:space="0" w:color="auto"/>
        <w:bottom w:val="none" w:sz="0" w:space="0" w:color="auto"/>
        <w:right w:val="none" w:sz="0" w:space="0" w:color="auto"/>
      </w:divBdr>
    </w:div>
    <w:div w:id="938180035">
      <w:bodyDiv w:val="1"/>
      <w:marLeft w:val="0"/>
      <w:marRight w:val="0"/>
      <w:marTop w:val="0"/>
      <w:marBottom w:val="0"/>
      <w:divBdr>
        <w:top w:val="none" w:sz="0" w:space="0" w:color="auto"/>
        <w:left w:val="none" w:sz="0" w:space="0" w:color="auto"/>
        <w:bottom w:val="none" w:sz="0" w:space="0" w:color="auto"/>
        <w:right w:val="none" w:sz="0" w:space="0" w:color="auto"/>
      </w:divBdr>
    </w:div>
    <w:div w:id="1066029353">
      <w:bodyDiv w:val="1"/>
      <w:marLeft w:val="0"/>
      <w:marRight w:val="0"/>
      <w:marTop w:val="0"/>
      <w:marBottom w:val="0"/>
      <w:divBdr>
        <w:top w:val="none" w:sz="0" w:space="0" w:color="auto"/>
        <w:left w:val="none" w:sz="0" w:space="0" w:color="auto"/>
        <w:bottom w:val="none" w:sz="0" w:space="0" w:color="auto"/>
        <w:right w:val="none" w:sz="0" w:space="0" w:color="auto"/>
      </w:divBdr>
    </w:div>
    <w:div w:id="1074158567">
      <w:bodyDiv w:val="1"/>
      <w:marLeft w:val="0"/>
      <w:marRight w:val="0"/>
      <w:marTop w:val="0"/>
      <w:marBottom w:val="0"/>
      <w:divBdr>
        <w:top w:val="none" w:sz="0" w:space="0" w:color="auto"/>
        <w:left w:val="none" w:sz="0" w:space="0" w:color="auto"/>
        <w:bottom w:val="none" w:sz="0" w:space="0" w:color="auto"/>
        <w:right w:val="none" w:sz="0" w:space="0" w:color="auto"/>
      </w:divBdr>
    </w:div>
    <w:div w:id="1116145452">
      <w:bodyDiv w:val="1"/>
      <w:marLeft w:val="0"/>
      <w:marRight w:val="0"/>
      <w:marTop w:val="0"/>
      <w:marBottom w:val="0"/>
      <w:divBdr>
        <w:top w:val="none" w:sz="0" w:space="0" w:color="auto"/>
        <w:left w:val="none" w:sz="0" w:space="0" w:color="auto"/>
        <w:bottom w:val="none" w:sz="0" w:space="0" w:color="auto"/>
        <w:right w:val="none" w:sz="0" w:space="0" w:color="auto"/>
      </w:divBdr>
    </w:div>
    <w:div w:id="1121146784">
      <w:bodyDiv w:val="1"/>
      <w:marLeft w:val="0"/>
      <w:marRight w:val="0"/>
      <w:marTop w:val="0"/>
      <w:marBottom w:val="0"/>
      <w:divBdr>
        <w:top w:val="none" w:sz="0" w:space="0" w:color="auto"/>
        <w:left w:val="none" w:sz="0" w:space="0" w:color="auto"/>
        <w:bottom w:val="none" w:sz="0" w:space="0" w:color="auto"/>
        <w:right w:val="none" w:sz="0" w:space="0" w:color="auto"/>
      </w:divBdr>
    </w:div>
    <w:div w:id="1171064588">
      <w:bodyDiv w:val="1"/>
      <w:marLeft w:val="0"/>
      <w:marRight w:val="0"/>
      <w:marTop w:val="0"/>
      <w:marBottom w:val="0"/>
      <w:divBdr>
        <w:top w:val="none" w:sz="0" w:space="0" w:color="auto"/>
        <w:left w:val="none" w:sz="0" w:space="0" w:color="auto"/>
        <w:bottom w:val="none" w:sz="0" w:space="0" w:color="auto"/>
        <w:right w:val="none" w:sz="0" w:space="0" w:color="auto"/>
      </w:divBdr>
    </w:div>
    <w:div w:id="1216427602">
      <w:bodyDiv w:val="1"/>
      <w:marLeft w:val="0"/>
      <w:marRight w:val="0"/>
      <w:marTop w:val="0"/>
      <w:marBottom w:val="0"/>
      <w:divBdr>
        <w:top w:val="none" w:sz="0" w:space="0" w:color="auto"/>
        <w:left w:val="none" w:sz="0" w:space="0" w:color="auto"/>
        <w:bottom w:val="none" w:sz="0" w:space="0" w:color="auto"/>
        <w:right w:val="none" w:sz="0" w:space="0" w:color="auto"/>
      </w:divBdr>
    </w:div>
    <w:div w:id="1262448038">
      <w:bodyDiv w:val="1"/>
      <w:marLeft w:val="0"/>
      <w:marRight w:val="0"/>
      <w:marTop w:val="0"/>
      <w:marBottom w:val="0"/>
      <w:divBdr>
        <w:top w:val="none" w:sz="0" w:space="0" w:color="auto"/>
        <w:left w:val="none" w:sz="0" w:space="0" w:color="auto"/>
        <w:bottom w:val="none" w:sz="0" w:space="0" w:color="auto"/>
        <w:right w:val="none" w:sz="0" w:space="0" w:color="auto"/>
      </w:divBdr>
    </w:div>
    <w:div w:id="1266304451">
      <w:bodyDiv w:val="1"/>
      <w:marLeft w:val="0"/>
      <w:marRight w:val="0"/>
      <w:marTop w:val="0"/>
      <w:marBottom w:val="0"/>
      <w:divBdr>
        <w:top w:val="none" w:sz="0" w:space="0" w:color="auto"/>
        <w:left w:val="none" w:sz="0" w:space="0" w:color="auto"/>
        <w:bottom w:val="none" w:sz="0" w:space="0" w:color="auto"/>
        <w:right w:val="none" w:sz="0" w:space="0" w:color="auto"/>
      </w:divBdr>
    </w:div>
    <w:div w:id="1269192774">
      <w:bodyDiv w:val="1"/>
      <w:marLeft w:val="0"/>
      <w:marRight w:val="0"/>
      <w:marTop w:val="0"/>
      <w:marBottom w:val="0"/>
      <w:divBdr>
        <w:top w:val="none" w:sz="0" w:space="0" w:color="auto"/>
        <w:left w:val="none" w:sz="0" w:space="0" w:color="auto"/>
        <w:bottom w:val="none" w:sz="0" w:space="0" w:color="auto"/>
        <w:right w:val="none" w:sz="0" w:space="0" w:color="auto"/>
      </w:divBdr>
    </w:div>
    <w:div w:id="1372681342">
      <w:bodyDiv w:val="1"/>
      <w:marLeft w:val="0"/>
      <w:marRight w:val="0"/>
      <w:marTop w:val="0"/>
      <w:marBottom w:val="0"/>
      <w:divBdr>
        <w:top w:val="none" w:sz="0" w:space="0" w:color="auto"/>
        <w:left w:val="none" w:sz="0" w:space="0" w:color="auto"/>
        <w:bottom w:val="none" w:sz="0" w:space="0" w:color="auto"/>
        <w:right w:val="none" w:sz="0" w:space="0" w:color="auto"/>
      </w:divBdr>
    </w:div>
    <w:div w:id="1525165534">
      <w:bodyDiv w:val="1"/>
      <w:marLeft w:val="0"/>
      <w:marRight w:val="0"/>
      <w:marTop w:val="0"/>
      <w:marBottom w:val="0"/>
      <w:divBdr>
        <w:top w:val="none" w:sz="0" w:space="0" w:color="auto"/>
        <w:left w:val="none" w:sz="0" w:space="0" w:color="auto"/>
        <w:bottom w:val="none" w:sz="0" w:space="0" w:color="auto"/>
        <w:right w:val="none" w:sz="0" w:space="0" w:color="auto"/>
      </w:divBdr>
    </w:div>
    <w:div w:id="1609384011">
      <w:bodyDiv w:val="1"/>
      <w:marLeft w:val="0"/>
      <w:marRight w:val="0"/>
      <w:marTop w:val="0"/>
      <w:marBottom w:val="0"/>
      <w:divBdr>
        <w:top w:val="none" w:sz="0" w:space="0" w:color="auto"/>
        <w:left w:val="none" w:sz="0" w:space="0" w:color="auto"/>
        <w:bottom w:val="none" w:sz="0" w:space="0" w:color="auto"/>
        <w:right w:val="none" w:sz="0" w:space="0" w:color="auto"/>
      </w:divBdr>
    </w:div>
    <w:div w:id="1694644790">
      <w:bodyDiv w:val="1"/>
      <w:marLeft w:val="0"/>
      <w:marRight w:val="0"/>
      <w:marTop w:val="0"/>
      <w:marBottom w:val="0"/>
      <w:divBdr>
        <w:top w:val="none" w:sz="0" w:space="0" w:color="auto"/>
        <w:left w:val="none" w:sz="0" w:space="0" w:color="auto"/>
        <w:bottom w:val="none" w:sz="0" w:space="0" w:color="auto"/>
        <w:right w:val="none" w:sz="0" w:space="0" w:color="auto"/>
      </w:divBdr>
    </w:div>
    <w:div w:id="1723215439">
      <w:bodyDiv w:val="1"/>
      <w:marLeft w:val="0"/>
      <w:marRight w:val="0"/>
      <w:marTop w:val="0"/>
      <w:marBottom w:val="0"/>
      <w:divBdr>
        <w:top w:val="none" w:sz="0" w:space="0" w:color="auto"/>
        <w:left w:val="none" w:sz="0" w:space="0" w:color="auto"/>
        <w:bottom w:val="none" w:sz="0" w:space="0" w:color="auto"/>
        <w:right w:val="none" w:sz="0" w:space="0" w:color="auto"/>
      </w:divBdr>
    </w:div>
    <w:div w:id="1753547332">
      <w:bodyDiv w:val="1"/>
      <w:marLeft w:val="0"/>
      <w:marRight w:val="0"/>
      <w:marTop w:val="0"/>
      <w:marBottom w:val="0"/>
      <w:divBdr>
        <w:top w:val="none" w:sz="0" w:space="0" w:color="auto"/>
        <w:left w:val="none" w:sz="0" w:space="0" w:color="auto"/>
        <w:bottom w:val="none" w:sz="0" w:space="0" w:color="auto"/>
        <w:right w:val="none" w:sz="0" w:space="0" w:color="auto"/>
      </w:divBdr>
    </w:div>
    <w:div w:id="1849711224">
      <w:bodyDiv w:val="1"/>
      <w:marLeft w:val="0"/>
      <w:marRight w:val="0"/>
      <w:marTop w:val="0"/>
      <w:marBottom w:val="0"/>
      <w:divBdr>
        <w:top w:val="none" w:sz="0" w:space="0" w:color="auto"/>
        <w:left w:val="none" w:sz="0" w:space="0" w:color="auto"/>
        <w:bottom w:val="none" w:sz="0" w:space="0" w:color="auto"/>
        <w:right w:val="none" w:sz="0" w:space="0" w:color="auto"/>
      </w:divBdr>
    </w:div>
    <w:div w:id="1935093921">
      <w:bodyDiv w:val="1"/>
      <w:marLeft w:val="0"/>
      <w:marRight w:val="0"/>
      <w:marTop w:val="0"/>
      <w:marBottom w:val="0"/>
      <w:divBdr>
        <w:top w:val="none" w:sz="0" w:space="0" w:color="auto"/>
        <w:left w:val="none" w:sz="0" w:space="0" w:color="auto"/>
        <w:bottom w:val="none" w:sz="0" w:space="0" w:color="auto"/>
        <w:right w:val="none" w:sz="0" w:space="0" w:color="auto"/>
      </w:divBdr>
    </w:div>
    <w:div w:id="1972245289">
      <w:bodyDiv w:val="1"/>
      <w:marLeft w:val="0"/>
      <w:marRight w:val="0"/>
      <w:marTop w:val="0"/>
      <w:marBottom w:val="0"/>
      <w:divBdr>
        <w:top w:val="none" w:sz="0" w:space="0" w:color="auto"/>
        <w:left w:val="none" w:sz="0" w:space="0" w:color="auto"/>
        <w:bottom w:val="none" w:sz="0" w:space="0" w:color="auto"/>
        <w:right w:val="none" w:sz="0" w:space="0" w:color="auto"/>
      </w:divBdr>
    </w:div>
    <w:div w:id="2019111270">
      <w:bodyDiv w:val="1"/>
      <w:marLeft w:val="0"/>
      <w:marRight w:val="0"/>
      <w:marTop w:val="0"/>
      <w:marBottom w:val="0"/>
      <w:divBdr>
        <w:top w:val="none" w:sz="0" w:space="0" w:color="auto"/>
        <w:left w:val="none" w:sz="0" w:space="0" w:color="auto"/>
        <w:bottom w:val="none" w:sz="0" w:space="0" w:color="auto"/>
        <w:right w:val="none" w:sz="0" w:space="0" w:color="auto"/>
      </w:divBdr>
    </w:div>
    <w:div w:id="2038196797">
      <w:bodyDiv w:val="1"/>
      <w:marLeft w:val="0"/>
      <w:marRight w:val="0"/>
      <w:marTop w:val="0"/>
      <w:marBottom w:val="0"/>
      <w:divBdr>
        <w:top w:val="none" w:sz="0" w:space="0" w:color="auto"/>
        <w:left w:val="none" w:sz="0" w:space="0" w:color="auto"/>
        <w:bottom w:val="none" w:sz="0" w:space="0" w:color="auto"/>
        <w:right w:val="none" w:sz="0" w:space="0" w:color="auto"/>
      </w:divBdr>
    </w:div>
    <w:div w:id="2067950254">
      <w:bodyDiv w:val="1"/>
      <w:marLeft w:val="0"/>
      <w:marRight w:val="0"/>
      <w:marTop w:val="0"/>
      <w:marBottom w:val="0"/>
      <w:divBdr>
        <w:top w:val="none" w:sz="0" w:space="0" w:color="auto"/>
        <w:left w:val="none" w:sz="0" w:space="0" w:color="auto"/>
        <w:bottom w:val="none" w:sz="0" w:space="0" w:color="auto"/>
        <w:right w:val="none" w:sz="0" w:space="0" w:color="auto"/>
      </w:divBdr>
    </w:div>
    <w:div w:id="2081243868">
      <w:bodyDiv w:val="1"/>
      <w:marLeft w:val="0"/>
      <w:marRight w:val="0"/>
      <w:marTop w:val="0"/>
      <w:marBottom w:val="0"/>
      <w:divBdr>
        <w:top w:val="none" w:sz="0" w:space="0" w:color="auto"/>
        <w:left w:val="none" w:sz="0" w:space="0" w:color="auto"/>
        <w:bottom w:val="none" w:sz="0" w:space="0" w:color="auto"/>
        <w:right w:val="none" w:sz="0" w:space="0" w:color="auto"/>
      </w:divBdr>
    </w:div>
    <w:div w:id="21311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B0DD5D68-412E-49E2-8399-2F4D1FD8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2457</Words>
  <Characters>14502</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Knapp</dc:creator>
  <cp:keywords/>
  <dc:description/>
  <cp:lastModifiedBy>Daniel Knapp</cp:lastModifiedBy>
  <cp:revision>3</cp:revision>
  <dcterms:created xsi:type="dcterms:W3CDTF">2020-04-01T16:58:00Z</dcterms:created>
  <dcterms:modified xsi:type="dcterms:W3CDTF">2020-04-01T17:04:00Z</dcterms:modified>
</cp:coreProperties>
</file>