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rFonts w:ascii="Times New Roman" w:cs="Times New Roman" w:eastAsia="Times New Roman" w:hAnsi="Times New Roman"/>
          <w:b w:val="1"/>
          <w:color w:val="343a4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43a40"/>
          <w:sz w:val="23"/>
          <w:szCs w:val="23"/>
          <w:highlight w:val="white"/>
          <w:rtl w:val="0"/>
        </w:rPr>
        <w:t xml:space="preserve">PŘEDSUDEK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emočně nabitý a kriticky nezhodnocený úsudek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vytvořený nebo hotově přejatý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charakter stereotypu, ze kterého následně plyne postoj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týká se jednotlivé osoby i sociální skupiny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rozvoj především v dětství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tvoření nejsilnějších předsudků v 4. - 5. roce života (Aboud, 1993)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výzkum Hraba a Granta - předškolní děti si vybírají panenku barvy své kůže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studie Yee a Browna - zvýhodňování skupin stejného pohlaví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výzkum Rutlanda - tvorba národnostních předsudků od 10ti let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v teorii spojen s otevřenou nebo uzavřenou strukturou osobnosti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tolerance/dogmatismus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autoritářská osobnost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sociální mobilita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frustrace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plnění speciálních iracionálních funkcí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boj proti předsudkům: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větší informovanost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after="240" w:lineRule="auto"/>
        <w:ind w:left="144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tolerance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rFonts w:ascii="Times New Roman" w:cs="Times New Roman" w:eastAsia="Times New Roman" w:hAnsi="Times New Roman"/>
          <w:b w:val="1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43a40"/>
          <w:sz w:val="24"/>
          <w:szCs w:val="24"/>
          <w:highlight w:val="white"/>
          <w:rtl w:val="0"/>
        </w:rPr>
        <w:t xml:space="preserve">Klíčová slova: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osobnost, postoje, předsudky, stereotypy, vnímání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>
          <w:rFonts w:ascii="Times New Roman" w:cs="Times New Roman" w:eastAsia="Times New Roman" w:hAnsi="Times New Roman"/>
          <w:b w:val="1"/>
          <w:color w:val="343a4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43a40"/>
          <w:sz w:val="24"/>
          <w:szCs w:val="24"/>
          <w:highlight w:val="white"/>
          <w:rtl w:val="0"/>
        </w:rPr>
        <w:t xml:space="preserve">Zdroje: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2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Aboud, F., E.: (1993).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The developmental psychology of racial prejudice.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 Transcultural Psychiatric Research Review.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Čáp, J.: (2001).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Psychologie pro učitele.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 (Vyd. 1., 655 s.) Praha: Portál.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Geist, B.: (1993).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Sociologický slovník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. Praha: Victoria Publishing. ISBN 80-85605-28-7.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Hartl, P., Hartlová, H.: (2010).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Velký psychologický slovník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. (Vyd. 4., V Portálu 1., 797 s.) Praha: Portál.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Hraba, J., Grant, G.: (1970).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Black is beautiful: A reexamination of racial preference and identification.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 Journal of personality and social psychology, 16(3), 398.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Rutland, A.: (1999).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The development of national prejudice, in‐group favouritism and self‐stereotypes in British children.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 British Journal of Social Psychology, 38(1), 55-70.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Yee, M., Brown, R.: (1994).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43a40"/>
          <w:sz w:val="24"/>
          <w:szCs w:val="24"/>
          <w:highlight w:val="white"/>
          <w:rtl w:val="0"/>
        </w:rPr>
        <w:t xml:space="preserve">The development of gender differentiation in young children.</w:t>
      </w:r>
      <w:r w:rsidDel="00000000" w:rsidR="00000000" w:rsidRPr="00000000">
        <w:rPr>
          <w:rFonts w:ascii="Times New Roman" w:cs="Times New Roman" w:eastAsia="Times New Roman" w:hAnsi="Times New Roman"/>
          <w:color w:val="343a40"/>
          <w:sz w:val="24"/>
          <w:szCs w:val="24"/>
          <w:highlight w:val="white"/>
          <w:rtl w:val="0"/>
        </w:rPr>
        <w:t xml:space="preserve"> British Journal of Social Psychology, 33(2), 183-196.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20" w:lineRule="auto"/>
        <w:ind w:left="7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