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01E" w:rsidRPr="00C86402" w:rsidRDefault="00C86402"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en-GB"/>
        </w:rPr>
      </w:pPr>
      <w:bookmarkStart w:id="0" w:name="_Hlk40909526"/>
      <w:r w:rsidRPr="00C86402">
        <w:rPr>
          <w:rFonts w:eastAsia="Times New Roman" w:cstheme="minorHAnsi"/>
          <w:b/>
          <w:lang w:eastAsia="en-GB"/>
        </w:rPr>
        <w:t>Week 14 – Discussion:</w:t>
      </w:r>
    </w:p>
    <w:p w:rsidR="00C86402" w:rsidRPr="004E1618" w:rsidRDefault="00C86402"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472C4" w:themeColor="accent1"/>
          <w:lang w:eastAsia="en-GB"/>
        </w:rPr>
      </w:pPr>
    </w:p>
    <w:p w:rsidR="000C2D7D" w:rsidRPr="00C86402" w:rsidRDefault="00B8101E"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472C4" w:themeColor="accent1"/>
          <w:lang w:eastAsia="en-GB"/>
        </w:rPr>
      </w:pPr>
      <w:r w:rsidRPr="004E1618">
        <w:rPr>
          <w:rFonts w:eastAsia="Times New Roman" w:cstheme="minorHAnsi"/>
          <w:color w:val="4472C4" w:themeColor="accent1"/>
          <w:lang w:eastAsia="en-GB"/>
        </w:rPr>
        <w:t xml:space="preserve">2) What is </w:t>
      </w:r>
      <w:r w:rsidRPr="004E1618">
        <w:rPr>
          <w:rFonts w:eastAsia="Times New Roman" w:cstheme="minorHAnsi"/>
          <w:b/>
          <w:color w:val="4472C4" w:themeColor="accent1"/>
          <w:lang w:eastAsia="en-GB"/>
        </w:rPr>
        <w:t>“biocultural hope”</w:t>
      </w:r>
      <w:r w:rsidRPr="004E1618">
        <w:rPr>
          <w:rFonts w:eastAsia="Times New Roman" w:cstheme="minorHAnsi"/>
          <w:color w:val="4472C4" w:themeColor="accent1"/>
          <w:lang w:eastAsia="en-GB"/>
        </w:rPr>
        <w:t xml:space="preserve"> according to Kirksey et al? How is this informed by Derrida’s distinction between </w:t>
      </w:r>
      <w:r w:rsidRPr="004E1618">
        <w:rPr>
          <w:rFonts w:eastAsia="Times New Roman" w:cstheme="minorHAnsi"/>
          <w:b/>
          <w:color w:val="4472C4" w:themeColor="accent1"/>
          <w:lang w:eastAsia="en-GB"/>
        </w:rPr>
        <w:t>apocalyptic and messianic</w:t>
      </w:r>
      <w:r w:rsidRPr="004E1618">
        <w:rPr>
          <w:rFonts w:eastAsia="Times New Roman" w:cstheme="minorHAnsi"/>
          <w:color w:val="4472C4" w:themeColor="accent1"/>
          <w:lang w:eastAsia="en-GB"/>
        </w:rPr>
        <w:t xml:space="preserve"> thinking? Does this hope arise through practices such as caring for other beings? (pp. 35, 54-57). How do you understand the figure that hope ‘move[s] like oil in water’ (39)? Does “biocultural hope” </w:t>
      </w:r>
      <w:r w:rsidRPr="004E1618">
        <w:rPr>
          <w:rFonts w:eastAsia="Times New Roman" w:cstheme="minorHAnsi"/>
          <w:b/>
          <w:color w:val="4472C4" w:themeColor="accent1"/>
          <w:lang w:eastAsia="en-GB"/>
        </w:rPr>
        <w:t>challenge the dominant nature-culture divide</w:t>
      </w:r>
      <w:r w:rsidRPr="004E1618">
        <w:rPr>
          <w:rFonts w:eastAsia="Times New Roman" w:cstheme="minorHAnsi"/>
          <w:color w:val="4472C4" w:themeColor="accent1"/>
          <w:lang w:eastAsia="en-GB"/>
        </w:rPr>
        <w:t xml:space="preserve"> in political action? If yes, in what way?</w:t>
      </w:r>
      <w:bookmarkEnd w:id="0"/>
    </w:p>
    <w:p w:rsidR="004E1618" w:rsidRDefault="004E1618"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rsidR="00335C1C" w:rsidRDefault="004E1618"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r>
        <w:rPr>
          <w:rFonts w:eastAsia="Times New Roman" w:cstheme="minorHAnsi"/>
          <w:lang w:eastAsia="en-GB"/>
        </w:rPr>
        <w:t xml:space="preserve">Biocultural hope </w:t>
      </w:r>
      <w:r w:rsidR="00335C1C">
        <w:rPr>
          <w:rFonts w:eastAsia="Times New Roman" w:cstheme="minorHAnsi"/>
          <w:lang w:eastAsia="en-GB"/>
        </w:rPr>
        <w:t>is a way of coping with the aftermath of environmentally disastrous events. The work of arts, described by Kirksey et al.</w:t>
      </w:r>
      <w:r w:rsidR="00C86402">
        <w:rPr>
          <w:rFonts w:eastAsia="Times New Roman" w:cstheme="minorHAnsi"/>
          <w:lang w:eastAsia="en-GB"/>
        </w:rPr>
        <w:t>,</w:t>
      </w:r>
      <w:r w:rsidR="00335C1C">
        <w:rPr>
          <w:rFonts w:eastAsia="Times New Roman" w:cstheme="minorHAnsi"/>
          <w:lang w:eastAsia="en-GB"/>
        </w:rPr>
        <w:t xml:space="preserve"> create</w:t>
      </w:r>
      <w:r>
        <w:rPr>
          <w:rFonts w:eastAsia="Times New Roman" w:cstheme="minorHAnsi"/>
          <w:lang w:eastAsia="en-GB"/>
        </w:rPr>
        <w:t xml:space="preserve"> feelings of </w:t>
      </w:r>
      <w:r w:rsidR="00750521">
        <w:rPr>
          <w:rFonts w:eastAsia="Times New Roman" w:cstheme="minorHAnsi"/>
          <w:lang w:eastAsia="en-GB"/>
        </w:rPr>
        <w:t>careful continuation</w:t>
      </w:r>
      <w:r>
        <w:rPr>
          <w:rFonts w:eastAsia="Times New Roman" w:cstheme="minorHAnsi"/>
          <w:lang w:eastAsia="en-GB"/>
        </w:rPr>
        <w:t xml:space="preserve"> in blighted environments</w:t>
      </w:r>
      <w:r w:rsidR="00925FBA">
        <w:rPr>
          <w:rStyle w:val="Funotenzeichen"/>
          <w:rFonts w:eastAsia="Times New Roman" w:cstheme="minorHAnsi"/>
          <w:lang w:eastAsia="en-GB"/>
        </w:rPr>
        <w:footnoteReference w:id="1"/>
      </w:r>
      <w:r>
        <w:rPr>
          <w:rFonts w:eastAsia="Times New Roman" w:cstheme="minorHAnsi"/>
          <w:lang w:eastAsia="en-GB"/>
        </w:rPr>
        <w:t xml:space="preserve"> </w:t>
      </w:r>
      <w:r w:rsidR="0047294E">
        <w:rPr>
          <w:rFonts w:eastAsia="Times New Roman" w:cstheme="minorHAnsi"/>
          <w:lang w:eastAsia="en-GB"/>
        </w:rPr>
        <w:t>and</w:t>
      </w:r>
      <w:r w:rsidR="00750521">
        <w:rPr>
          <w:rFonts w:eastAsia="Times New Roman" w:cstheme="minorHAnsi"/>
          <w:lang w:eastAsia="en-GB"/>
        </w:rPr>
        <w:t xml:space="preserve"> various ways of living together</w:t>
      </w:r>
      <w:r w:rsidR="00925FBA">
        <w:rPr>
          <w:rFonts w:eastAsia="Times New Roman" w:cstheme="minorHAnsi"/>
          <w:lang w:eastAsia="en-GB"/>
        </w:rPr>
        <w:t xml:space="preserve"> with affected species</w:t>
      </w:r>
      <w:r w:rsidR="00750521">
        <w:rPr>
          <w:rFonts w:eastAsia="Times New Roman" w:cstheme="minorHAnsi"/>
          <w:lang w:eastAsia="en-GB"/>
        </w:rPr>
        <w:t>.</w:t>
      </w:r>
      <w:r w:rsidR="00750521">
        <w:rPr>
          <w:rStyle w:val="Funotenzeichen"/>
          <w:rFonts w:eastAsia="Times New Roman" w:cstheme="minorHAnsi"/>
          <w:lang w:eastAsia="en-GB"/>
        </w:rPr>
        <w:footnoteReference w:id="2"/>
      </w:r>
    </w:p>
    <w:p w:rsidR="0047294E" w:rsidRDefault="00364EA5"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r>
        <w:rPr>
          <w:rFonts w:eastAsia="Times New Roman" w:cstheme="minorHAnsi"/>
          <w:lang w:eastAsia="en-GB"/>
        </w:rPr>
        <w:t>Based on</w:t>
      </w:r>
      <w:r w:rsidR="00925FBA">
        <w:rPr>
          <w:rFonts w:eastAsia="Times New Roman" w:cstheme="minorHAnsi"/>
          <w:lang w:eastAsia="en-GB"/>
        </w:rPr>
        <w:t xml:space="preserve"> Derrida’s distinction of m</w:t>
      </w:r>
      <w:r w:rsidR="004E1618" w:rsidRPr="004E1618">
        <w:rPr>
          <w:rFonts w:eastAsia="Times New Roman" w:cstheme="minorHAnsi"/>
          <w:lang w:eastAsia="en-GB"/>
        </w:rPr>
        <w:t>essianic</w:t>
      </w:r>
      <w:r w:rsidR="00925FBA">
        <w:rPr>
          <w:rFonts w:eastAsia="Times New Roman" w:cstheme="minorHAnsi"/>
          <w:lang w:eastAsia="en-GB"/>
        </w:rPr>
        <w:t xml:space="preserve"> and apocalyptic</w:t>
      </w:r>
      <w:r w:rsidR="004E1618" w:rsidRPr="004E1618">
        <w:rPr>
          <w:rFonts w:eastAsia="Times New Roman" w:cstheme="minorHAnsi"/>
          <w:lang w:eastAsia="en-GB"/>
        </w:rPr>
        <w:t xml:space="preserve"> thinking</w:t>
      </w:r>
      <w:r w:rsidR="00925FBA">
        <w:rPr>
          <w:rFonts w:eastAsia="Times New Roman" w:cstheme="minorHAnsi"/>
          <w:lang w:eastAsia="en-GB"/>
        </w:rPr>
        <w:t xml:space="preserve">, biocultural hope can </w:t>
      </w:r>
      <w:r>
        <w:rPr>
          <w:rFonts w:eastAsia="Times New Roman" w:cstheme="minorHAnsi"/>
          <w:lang w:eastAsia="en-GB"/>
        </w:rPr>
        <w:t xml:space="preserve">be understood as a coalescence of the </w:t>
      </w:r>
      <w:r w:rsidRPr="004E1618">
        <w:rPr>
          <w:rFonts w:eastAsia="Times New Roman" w:cstheme="minorHAnsi"/>
          <w:lang w:eastAsia="en-GB"/>
        </w:rPr>
        <w:t xml:space="preserve">acceptance of future, which is </w:t>
      </w:r>
      <w:r>
        <w:rPr>
          <w:rFonts w:eastAsia="Times New Roman" w:cstheme="minorHAnsi"/>
          <w:lang w:eastAsia="en-GB"/>
        </w:rPr>
        <w:t xml:space="preserve">widely </w:t>
      </w:r>
      <w:r w:rsidRPr="004E1618">
        <w:rPr>
          <w:rFonts w:eastAsia="Times New Roman" w:cstheme="minorHAnsi"/>
          <w:lang w:eastAsia="en-GB"/>
        </w:rPr>
        <w:t>unpredictable</w:t>
      </w:r>
      <w:r w:rsidR="00886689">
        <w:rPr>
          <w:rFonts w:eastAsia="Times New Roman" w:cstheme="minorHAnsi"/>
          <w:lang w:eastAsia="en-GB"/>
        </w:rPr>
        <w:t xml:space="preserve">, but animated with </w:t>
      </w:r>
      <w:r w:rsidR="0006517F">
        <w:rPr>
          <w:rFonts w:eastAsia="Times New Roman" w:cstheme="minorHAnsi"/>
          <w:lang w:eastAsia="en-GB"/>
        </w:rPr>
        <w:t>agents of hope.</w:t>
      </w:r>
      <w:r w:rsidR="0006517F">
        <w:rPr>
          <w:rStyle w:val="Funotenzeichen"/>
          <w:rFonts w:eastAsia="Times New Roman" w:cstheme="minorHAnsi"/>
          <w:lang w:eastAsia="en-GB"/>
        </w:rPr>
        <w:footnoteReference w:id="3"/>
      </w:r>
      <w:r w:rsidR="0047294E">
        <w:rPr>
          <w:rFonts w:eastAsia="Times New Roman" w:cstheme="minorHAnsi"/>
          <w:lang w:eastAsia="en-GB"/>
        </w:rPr>
        <w:t xml:space="preserve"> </w:t>
      </w:r>
    </w:p>
    <w:p w:rsidR="00AC58F1" w:rsidRDefault="004E1618"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r>
        <w:rPr>
          <w:rFonts w:eastAsia="Times New Roman" w:cstheme="minorHAnsi"/>
          <w:lang w:eastAsia="en-GB"/>
        </w:rPr>
        <w:t>The creative people in New Orleans create</w:t>
      </w:r>
      <w:r w:rsidR="00750521">
        <w:rPr>
          <w:rFonts w:eastAsia="Times New Roman" w:cstheme="minorHAnsi"/>
          <w:lang w:eastAsia="en-GB"/>
        </w:rPr>
        <w:t xml:space="preserve"> biocultural</w:t>
      </w:r>
      <w:r>
        <w:rPr>
          <w:rFonts w:eastAsia="Times New Roman" w:cstheme="minorHAnsi"/>
          <w:lang w:eastAsia="en-GB"/>
        </w:rPr>
        <w:t xml:space="preserve"> possib</w:t>
      </w:r>
      <w:r w:rsidR="0006517F">
        <w:rPr>
          <w:rFonts w:eastAsia="Times New Roman" w:cstheme="minorHAnsi"/>
          <w:lang w:eastAsia="en-GB"/>
        </w:rPr>
        <w:t>ilities of transformation of lif</w:t>
      </w:r>
      <w:r>
        <w:rPr>
          <w:rFonts w:eastAsia="Times New Roman" w:cstheme="minorHAnsi"/>
          <w:lang w:eastAsia="en-GB"/>
        </w:rPr>
        <w:t>e in the aftermath of catastrophes.</w:t>
      </w:r>
      <w:r w:rsidR="00750521">
        <w:rPr>
          <w:rFonts w:eastAsia="Times New Roman" w:cstheme="minorHAnsi"/>
          <w:lang w:eastAsia="en-GB"/>
        </w:rPr>
        <w:t xml:space="preserve"> Instead of taking on inert a</w:t>
      </w:r>
      <w:r w:rsidR="00750521" w:rsidRPr="004E1618">
        <w:rPr>
          <w:rFonts w:eastAsia="Times New Roman" w:cstheme="minorHAnsi"/>
          <w:lang w:eastAsia="en-GB"/>
        </w:rPr>
        <w:t>po</w:t>
      </w:r>
      <w:r w:rsidR="00750521">
        <w:rPr>
          <w:rFonts w:eastAsia="Times New Roman" w:cstheme="minorHAnsi"/>
          <w:lang w:eastAsia="en-GB"/>
        </w:rPr>
        <w:t>calyptic thinking, which destroys hope, they shift notions of end time to ideas for new beginnings.</w:t>
      </w:r>
      <w:r>
        <w:rPr>
          <w:rFonts w:eastAsia="Times New Roman" w:cstheme="minorHAnsi"/>
          <w:lang w:eastAsia="en-GB"/>
        </w:rPr>
        <w:t xml:space="preserve"> </w:t>
      </w:r>
      <w:r w:rsidR="005C764E">
        <w:rPr>
          <w:rFonts w:eastAsia="Times New Roman" w:cstheme="minorHAnsi"/>
          <w:lang w:eastAsia="en-GB"/>
        </w:rPr>
        <w:t xml:space="preserve">They move around the apocalyptic thought of Derrida’s dessert, but also avoid </w:t>
      </w:r>
      <w:proofErr w:type="gramStart"/>
      <w:r w:rsidR="005C764E">
        <w:rPr>
          <w:rFonts w:eastAsia="Times New Roman" w:cstheme="minorHAnsi"/>
          <w:lang w:eastAsia="en-GB"/>
        </w:rPr>
        <w:t>to internalize</w:t>
      </w:r>
      <w:proofErr w:type="gramEnd"/>
      <w:r w:rsidR="005C764E">
        <w:rPr>
          <w:rFonts w:eastAsia="Times New Roman" w:cstheme="minorHAnsi"/>
          <w:lang w:eastAsia="en-GB"/>
        </w:rPr>
        <w:t xml:space="preserve"> the disconnection of materiality,</w:t>
      </w:r>
      <w:r w:rsidR="00750521">
        <w:rPr>
          <w:rFonts w:eastAsia="Times New Roman" w:cstheme="minorHAnsi"/>
          <w:lang w:eastAsia="en-GB"/>
        </w:rPr>
        <w:t xml:space="preserve"> which is</w:t>
      </w:r>
      <w:r w:rsidR="005C764E">
        <w:rPr>
          <w:rFonts w:eastAsia="Times New Roman" w:cstheme="minorHAnsi"/>
          <w:lang w:eastAsia="en-GB"/>
        </w:rPr>
        <w:t xml:space="preserve"> linked to messianic thinking.</w:t>
      </w:r>
      <w:r w:rsidR="005C764E">
        <w:rPr>
          <w:rStyle w:val="Funotenzeichen"/>
          <w:rFonts w:eastAsia="Times New Roman" w:cstheme="minorHAnsi"/>
          <w:lang w:eastAsia="en-GB"/>
        </w:rPr>
        <w:footnoteReference w:id="4"/>
      </w:r>
    </w:p>
    <w:p w:rsidR="0006517F" w:rsidRDefault="00B5556D"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r>
        <w:rPr>
          <w:rFonts w:eastAsia="Times New Roman" w:cstheme="minorHAnsi"/>
          <w:lang w:eastAsia="en-GB"/>
        </w:rPr>
        <w:t>Hopes as force of motivation (like oil) may stay at the surface of our consciousness (water), but eventually they are dissolved by intervention (dispersants), which will</w:t>
      </w:r>
      <w:r w:rsidR="00BD73B4">
        <w:rPr>
          <w:rFonts w:eastAsia="Times New Roman" w:cstheme="minorHAnsi"/>
          <w:lang w:eastAsia="en-GB"/>
        </w:rPr>
        <w:t xml:space="preserve"> only</w:t>
      </w:r>
      <w:r>
        <w:rPr>
          <w:rFonts w:eastAsia="Times New Roman" w:cstheme="minorHAnsi"/>
          <w:lang w:eastAsia="en-GB"/>
        </w:rPr>
        <w:t xml:space="preserve"> lead to their reduction of visibility</w:t>
      </w:r>
      <w:r w:rsidR="00BD73B4">
        <w:rPr>
          <w:rFonts w:eastAsia="Times New Roman" w:cstheme="minorHAnsi"/>
          <w:lang w:eastAsia="en-GB"/>
        </w:rPr>
        <w:t>, but will not completely erase them. The impact of challenged hopes might be more powerful (increased toxicity of dispersed oil) if we adapt them to the actual (catastrophic) situation and enrich them with new ways of caring for those, who are not being cared about. Thus, creating substratum for coalescence of hope and care.</w:t>
      </w:r>
    </w:p>
    <w:p w:rsidR="00BD73B4" w:rsidRDefault="005D1605"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r>
        <w:rPr>
          <w:rFonts w:eastAsia="Times New Roman" w:cstheme="minorHAnsi"/>
          <w:lang w:eastAsia="en-GB"/>
        </w:rPr>
        <w:t>“Biocultural hope”</w:t>
      </w:r>
      <w:r w:rsidR="0006517F" w:rsidRPr="004E1618">
        <w:rPr>
          <w:rFonts w:eastAsia="Times New Roman" w:cstheme="minorHAnsi"/>
          <w:lang w:eastAsia="en-GB"/>
        </w:rPr>
        <w:t xml:space="preserve"> challenges </w:t>
      </w:r>
      <w:r>
        <w:rPr>
          <w:rFonts w:eastAsia="Times New Roman" w:cstheme="minorHAnsi"/>
          <w:lang w:eastAsia="en-GB"/>
        </w:rPr>
        <w:t xml:space="preserve">the conception of nature and culture as separated worlds, </w:t>
      </w:r>
      <w:r w:rsidR="0006517F" w:rsidRPr="004E1618">
        <w:rPr>
          <w:rFonts w:eastAsia="Times New Roman" w:cstheme="minorHAnsi"/>
          <w:lang w:eastAsia="en-GB"/>
        </w:rPr>
        <w:t xml:space="preserve">because it accepts the given </w:t>
      </w:r>
      <w:r>
        <w:rPr>
          <w:rFonts w:eastAsia="Times New Roman" w:cstheme="minorHAnsi"/>
          <w:lang w:eastAsia="en-GB"/>
        </w:rPr>
        <w:t xml:space="preserve">disastrous </w:t>
      </w:r>
      <w:r w:rsidR="0006517F" w:rsidRPr="004E1618">
        <w:rPr>
          <w:rFonts w:eastAsia="Times New Roman" w:cstheme="minorHAnsi"/>
          <w:lang w:eastAsia="en-GB"/>
        </w:rPr>
        <w:t xml:space="preserve">situation as </w:t>
      </w:r>
      <w:r>
        <w:rPr>
          <w:rFonts w:eastAsia="Times New Roman" w:cstheme="minorHAnsi"/>
          <w:lang w:eastAsia="en-GB"/>
        </w:rPr>
        <w:t xml:space="preserve">caused and </w:t>
      </w:r>
      <w:r w:rsidR="0006517F" w:rsidRPr="004E1618">
        <w:rPr>
          <w:rFonts w:eastAsia="Times New Roman" w:cstheme="minorHAnsi"/>
          <w:lang w:eastAsia="en-GB"/>
        </w:rPr>
        <w:t>constructed</w:t>
      </w:r>
      <w:r>
        <w:rPr>
          <w:rFonts w:eastAsia="Times New Roman" w:cstheme="minorHAnsi"/>
          <w:lang w:eastAsia="en-GB"/>
        </w:rPr>
        <w:t>,</w:t>
      </w:r>
      <w:r w:rsidR="0006517F" w:rsidRPr="004E1618">
        <w:rPr>
          <w:rFonts w:eastAsia="Times New Roman" w:cstheme="minorHAnsi"/>
          <w:lang w:eastAsia="en-GB"/>
        </w:rPr>
        <w:t xml:space="preserve"> but</w:t>
      </w:r>
      <w:r>
        <w:rPr>
          <w:rFonts w:eastAsia="Times New Roman" w:cstheme="minorHAnsi"/>
          <w:lang w:eastAsia="en-GB"/>
        </w:rPr>
        <w:t xml:space="preserve"> also reveals the intersectional politics it entails. It scrutinizes the possible ways to </w:t>
      </w:r>
      <w:r w:rsidR="0006517F" w:rsidRPr="004E1618">
        <w:rPr>
          <w:rFonts w:eastAsia="Times New Roman" w:cstheme="minorHAnsi"/>
          <w:lang w:eastAsia="en-GB"/>
        </w:rPr>
        <w:t>proceed in a caring behaviour</w:t>
      </w:r>
      <w:r>
        <w:rPr>
          <w:rFonts w:eastAsia="Times New Roman" w:cstheme="minorHAnsi"/>
          <w:lang w:eastAsia="en-GB"/>
        </w:rPr>
        <w:t xml:space="preserve">, not only towards afflicted </w:t>
      </w:r>
      <w:r w:rsidR="007E2F10">
        <w:rPr>
          <w:rFonts w:eastAsia="Times New Roman" w:cstheme="minorHAnsi"/>
          <w:lang w:eastAsia="en-GB"/>
        </w:rPr>
        <w:t>people, but also species, who’s suffering is made visible</w:t>
      </w:r>
      <w:r>
        <w:rPr>
          <w:rFonts w:eastAsia="Times New Roman" w:cstheme="minorHAnsi"/>
          <w:lang w:eastAsia="en-GB"/>
        </w:rPr>
        <w:t>.</w:t>
      </w:r>
    </w:p>
    <w:p w:rsidR="00B8101E" w:rsidRPr="004E1618" w:rsidRDefault="00B8101E"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rsidR="00C86402" w:rsidRDefault="00C86402"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472C4" w:themeColor="accent1"/>
          <w:lang w:eastAsia="en-GB"/>
        </w:rPr>
      </w:pPr>
      <w:bookmarkStart w:id="1" w:name="_Hlk40909540"/>
    </w:p>
    <w:p w:rsidR="00AC58F1" w:rsidRDefault="00B8101E"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472C4" w:themeColor="accent1"/>
          <w:lang w:eastAsia="en-GB"/>
        </w:rPr>
      </w:pPr>
      <w:r w:rsidRPr="004E1618">
        <w:rPr>
          <w:rFonts w:eastAsia="Times New Roman" w:cstheme="minorHAnsi"/>
          <w:color w:val="4472C4" w:themeColor="accent1"/>
          <w:lang w:eastAsia="en-GB"/>
        </w:rPr>
        <w:lastRenderedPageBreak/>
        <w:t xml:space="preserve">5) What is meant by the concept “shared interdependent </w:t>
      </w:r>
      <w:proofErr w:type="spellStart"/>
      <w:r w:rsidRPr="004E1618">
        <w:rPr>
          <w:rFonts w:eastAsia="Times New Roman" w:cstheme="minorHAnsi"/>
          <w:color w:val="4472C4" w:themeColor="accent1"/>
          <w:lang w:eastAsia="en-GB"/>
        </w:rPr>
        <w:t>transsex</w:t>
      </w:r>
      <w:proofErr w:type="spellEnd"/>
      <w:r w:rsidRPr="004E1618">
        <w:rPr>
          <w:rFonts w:eastAsia="Times New Roman" w:cstheme="minorHAnsi"/>
          <w:color w:val="4472C4" w:themeColor="accent1"/>
          <w:lang w:eastAsia="en-GB"/>
        </w:rPr>
        <w:t>” that Bailey Kier proposes? (p. 7) How do you understand the closing statement on page 9: “…</w:t>
      </w:r>
      <w:r w:rsidRPr="004E1618">
        <w:rPr>
          <w:rFonts w:eastAsia="Times New Roman" w:cstheme="minorHAnsi"/>
          <w:b/>
          <w:color w:val="4472C4" w:themeColor="accent1"/>
          <w:lang w:eastAsia="en-GB"/>
        </w:rPr>
        <w:t>we are the future organisms that we are becoming</w:t>
      </w:r>
      <w:r w:rsidRPr="004E1618">
        <w:rPr>
          <w:rFonts w:eastAsia="Times New Roman" w:cstheme="minorHAnsi"/>
          <w:color w:val="4472C4" w:themeColor="accent1"/>
          <w:lang w:eastAsia="en-GB"/>
        </w:rPr>
        <w:t>”?</w:t>
      </w:r>
    </w:p>
    <w:bookmarkEnd w:id="1"/>
    <w:p w:rsidR="007E2F10" w:rsidRDefault="007E2F10"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472C4" w:themeColor="accent1"/>
          <w:lang w:eastAsia="en-GB"/>
        </w:rPr>
      </w:pPr>
    </w:p>
    <w:p w:rsidR="007E2F10" w:rsidRPr="007E2F10" w:rsidRDefault="007E2F10"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r w:rsidRPr="007E2F10">
        <w:rPr>
          <w:rFonts w:eastAsia="Times New Roman" w:cstheme="minorHAnsi"/>
          <w:lang w:eastAsia="en-GB"/>
        </w:rPr>
        <w:t xml:space="preserve">Species developed through evolution have changing hormone </w:t>
      </w:r>
      <w:r>
        <w:rPr>
          <w:rFonts w:eastAsia="Times New Roman" w:cstheme="minorHAnsi"/>
          <w:lang w:eastAsia="en-GB"/>
        </w:rPr>
        <w:t xml:space="preserve">levels </w:t>
      </w:r>
      <w:r w:rsidRPr="007E2F10">
        <w:rPr>
          <w:rFonts w:eastAsia="Times New Roman" w:cstheme="minorHAnsi"/>
          <w:lang w:eastAsia="en-GB"/>
        </w:rPr>
        <w:t>(“hormonal vulnerabilities”</w:t>
      </w:r>
      <w:r w:rsidRPr="007E2F10">
        <w:rPr>
          <w:rStyle w:val="Funotenzeichen"/>
          <w:rFonts w:eastAsia="Times New Roman" w:cstheme="minorHAnsi"/>
          <w:lang w:eastAsia="en-GB"/>
        </w:rPr>
        <w:footnoteReference w:id="5"/>
      </w:r>
      <w:r w:rsidRPr="007E2F10">
        <w:rPr>
          <w:rFonts w:eastAsia="Times New Roman" w:cstheme="minorHAnsi"/>
          <w:lang w:eastAsia="en-GB"/>
        </w:rPr>
        <w:t>)</w:t>
      </w:r>
      <w:r>
        <w:rPr>
          <w:rFonts w:eastAsia="Times New Roman" w:cstheme="minorHAnsi"/>
          <w:lang w:eastAsia="en-GB"/>
        </w:rPr>
        <w:t xml:space="preserve"> over their lifetime, whic</w:t>
      </w:r>
      <w:r w:rsidR="0047294E">
        <w:rPr>
          <w:rFonts w:eastAsia="Times New Roman" w:cstheme="minorHAnsi"/>
          <w:lang w:eastAsia="en-GB"/>
        </w:rPr>
        <w:t xml:space="preserve">h are also </w:t>
      </w:r>
      <w:r>
        <w:rPr>
          <w:rFonts w:eastAsia="Times New Roman" w:cstheme="minorHAnsi"/>
          <w:lang w:eastAsia="en-GB"/>
        </w:rPr>
        <w:t>affected by their lifestyle.</w:t>
      </w:r>
      <w:r w:rsidR="00C92600">
        <w:rPr>
          <w:rFonts w:eastAsia="Times New Roman" w:cstheme="minorHAnsi"/>
          <w:lang w:eastAsia="en-GB"/>
        </w:rPr>
        <w:t xml:space="preserve"> Human culture coined by material consumption influences endocrine systems and the processes of sexing. This transformation of human sex (“</w:t>
      </w:r>
      <w:proofErr w:type="spellStart"/>
      <w:r w:rsidR="00C92600">
        <w:rPr>
          <w:rFonts w:eastAsia="Times New Roman" w:cstheme="minorHAnsi"/>
          <w:lang w:eastAsia="en-GB"/>
        </w:rPr>
        <w:t>transsex</w:t>
      </w:r>
      <w:proofErr w:type="spellEnd"/>
      <w:r w:rsidR="00C92600">
        <w:rPr>
          <w:rFonts w:eastAsia="Times New Roman" w:cstheme="minorHAnsi"/>
          <w:lang w:eastAsia="en-GB"/>
        </w:rPr>
        <w:t xml:space="preserve">”) </w:t>
      </w:r>
      <w:proofErr w:type="gramStart"/>
      <w:r w:rsidR="00C92600">
        <w:rPr>
          <w:rFonts w:eastAsia="Times New Roman" w:cstheme="minorHAnsi"/>
          <w:lang w:eastAsia="en-GB"/>
        </w:rPr>
        <w:t>can be seen as</w:t>
      </w:r>
      <w:proofErr w:type="gramEnd"/>
      <w:r w:rsidR="00C92600">
        <w:rPr>
          <w:rFonts w:eastAsia="Times New Roman" w:cstheme="minorHAnsi"/>
          <w:lang w:eastAsia="en-GB"/>
        </w:rPr>
        <w:t xml:space="preserve"> opportunities for </w:t>
      </w:r>
      <w:r w:rsidR="0047294E">
        <w:rPr>
          <w:rFonts w:eastAsia="Times New Roman" w:cstheme="minorHAnsi"/>
          <w:lang w:eastAsia="en-GB"/>
        </w:rPr>
        <w:t>reconceptualization of the</w:t>
      </w:r>
      <w:r w:rsidR="00053F2C">
        <w:rPr>
          <w:rFonts w:eastAsia="Times New Roman" w:cstheme="minorHAnsi"/>
          <w:lang w:eastAsia="en-GB"/>
        </w:rPr>
        <w:t xml:space="preserve"> rigid normative notions of binary sex.</w:t>
      </w:r>
      <w:r w:rsidR="00053F2C">
        <w:rPr>
          <w:rStyle w:val="Funotenzeichen"/>
          <w:rFonts w:eastAsia="Times New Roman" w:cstheme="minorHAnsi"/>
          <w:lang w:eastAsia="en-GB"/>
        </w:rPr>
        <w:footnoteReference w:id="6"/>
      </w:r>
    </w:p>
    <w:p w:rsidR="007539D9" w:rsidRDefault="007E2F10"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r w:rsidRPr="007E2F10">
        <w:rPr>
          <w:rFonts w:eastAsia="Times New Roman" w:cstheme="minorHAnsi"/>
          <w:lang w:eastAsia="en-GB"/>
        </w:rPr>
        <w:t>Bailey Kier proclaims</w:t>
      </w:r>
      <w:r w:rsidR="00053F2C">
        <w:rPr>
          <w:rFonts w:eastAsia="Times New Roman" w:cstheme="minorHAnsi"/>
          <w:lang w:eastAsia="en-GB"/>
        </w:rPr>
        <w:t xml:space="preserve"> that</w:t>
      </w:r>
      <w:r w:rsidRPr="007E2F10">
        <w:rPr>
          <w:rFonts w:eastAsia="Times New Roman" w:cstheme="minorHAnsi"/>
          <w:lang w:eastAsia="en-GB"/>
        </w:rPr>
        <w:t xml:space="preserve"> bodies </w:t>
      </w:r>
      <w:r w:rsidR="00053F2C">
        <w:rPr>
          <w:rFonts w:eastAsia="Times New Roman" w:cstheme="minorHAnsi"/>
          <w:lang w:eastAsia="en-GB"/>
        </w:rPr>
        <w:t xml:space="preserve">are </w:t>
      </w:r>
      <w:r w:rsidR="00053F2C" w:rsidRPr="007E2F10">
        <w:rPr>
          <w:rFonts w:eastAsia="Times New Roman" w:cstheme="minorHAnsi"/>
          <w:lang w:eastAsia="en-GB"/>
        </w:rPr>
        <w:t>constant</w:t>
      </w:r>
      <w:r w:rsidR="00053F2C">
        <w:rPr>
          <w:rFonts w:eastAsia="Times New Roman" w:cstheme="minorHAnsi"/>
          <w:lang w:eastAsia="en-GB"/>
        </w:rPr>
        <w:t xml:space="preserve"> ecological</w:t>
      </w:r>
      <w:r w:rsidR="00053F2C" w:rsidRPr="007E2F10">
        <w:rPr>
          <w:rFonts w:eastAsia="Times New Roman" w:cstheme="minorHAnsi"/>
          <w:lang w:eastAsia="en-GB"/>
        </w:rPr>
        <w:t xml:space="preserve"> processes</w:t>
      </w:r>
      <w:r w:rsidR="00053F2C">
        <w:rPr>
          <w:rFonts w:eastAsia="Times New Roman" w:cstheme="minorHAnsi"/>
          <w:lang w:eastAsia="en-GB"/>
        </w:rPr>
        <w:t xml:space="preserve"> in interconnected exchange with the</w:t>
      </w:r>
      <w:r w:rsidR="004942FA">
        <w:rPr>
          <w:rFonts w:eastAsia="Times New Roman" w:cstheme="minorHAnsi"/>
          <w:lang w:eastAsia="en-GB"/>
        </w:rPr>
        <w:t xml:space="preserve"> shared</w:t>
      </w:r>
      <w:r w:rsidR="00053F2C">
        <w:rPr>
          <w:rFonts w:eastAsia="Times New Roman" w:cstheme="minorHAnsi"/>
          <w:lang w:eastAsia="en-GB"/>
        </w:rPr>
        <w:t xml:space="preserve"> environment (relations, adaptions, metabolisms, reproductions).</w:t>
      </w:r>
      <w:r w:rsidR="00371704">
        <w:rPr>
          <w:rFonts w:eastAsia="Times New Roman" w:cstheme="minorHAnsi"/>
          <w:lang w:eastAsia="en-GB"/>
        </w:rPr>
        <w:t xml:space="preserve">  </w:t>
      </w:r>
      <w:r w:rsidR="004942FA">
        <w:rPr>
          <w:rFonts w:eastAsia="Times New Roman" w:cstheme="minorHAnsi"/>
          <w:lang w:eastAsia="en-GB"/>
        </w:rPr>
        <w:t xml:space="preserve">Thus </w:t>
      </w:r>
      <w:r w:rsidR="00292FF0">
        <w:rPr>
          <w:rFonts w:eastAsia="Times New Roman" w:cstheme="minorHAnsi"/>
          <w:lang w:eastAsia="en-GB"/>
        </w:rPr>
        <w:t xml:space="preserve">human sex is interrelated </w:t>
      </w:r>
      <w:r w:rsidR="007539D9">
        <w:rPr>
          <w:rFonts w:eastAsia="Times New Roman" w:cstheme="minorHAnsi"/>
          <w:lang w:eastAsia="en-GB"/>
        </w:rPr>
        <w:t xml:space="preserve">and in constant transformation. </w:t>
      </w:r>
      <w:r w:rsidR="00292FF0">
        <w:rPr>
          <w:rFonts w:eastAsia="Times New Roman" w:cstheme="minorHAnsi"/>
          <w:lang w:eastAsia="en-GB"/>
        </w:rPr>
        <w:t>Acknowledging the constant variations of human bodies and sexes through exterior, as well as interior influences, means to accept human sex as responsive to</w:t>
      </w:r>
      <w:r w:rsidR="007539D9">
        <w:rPr>
          <w:rFonts w:eastAsia="Times New Roman" w:cstheme="minorHAnsi"/>
          <w:lang w:eastAsia="en-GB"/>
        </w:rPr>
        <w:t xml:space="preserve"> bio-industrial-chemical agents</w:t>
      </w:r>
      <w:r w:rsidR="00292FF0">
        <w:rPr>
          <w:rFonts w:eastAsia="Times New Roman" w:cstheme="minorHAnsi"/>
          <w:lang w:eastAsia="en-GB"/>
        </w:rPr>
        <w:t xml:space="preserve"> </w:t>
      </w:r>
      <w:r w:rsidR="007539D9">
        <w:rPr>
          <w:rFonts w:eastAsia="Times New Roman" w:cstheme="minorHAnsi"/>
          <w:lang w:eastAsia="en-GB"/>
        </w:rPr>
        <w:t>(nutritious and toxic).</w:t>
      </w:r>
      <w:r w:rsidR="00371704">
        <w:rPr>
          <w:rFonts w:eastAsia="Times New Roman" w:cstheme="minorHAnsi"/>
          <w:lang w:eastAsia="en-GB"/>
        </w:rPr>
        <w:t xml:space="preserve"> </w:t>
      </w:r>
      <w:r w:rsidR="007539D9">
        <w:rPr>
          <w:rFonts w:eastAsia="Times New Roman" w:cstheme="minorHAnsi"/>
          <w:lang w:eastAsia="en-GB"/>
        </w:rPr>
        <w:t>Therefore, sexual attribution is questioned and reshaped with a potential of dissolving imaginative alterity between sexes.</w:t>
      </w:r>
      <w:r w:rsidR="00550EE5">
        <w:rPr>
          <w:rStyle w:val="Funotenzeichen"/>
          <w:rFonts w:eastAsia="Times New Roman" w:cstheme="minorHAnsi"/>
          <w:lang w:eastAsia="en-GB"/>
        </w:rPr>
        <w:footnoteReference w:id="7"/>
      </w:r>
    </w:p>
    <w:p w:rsidR="00AC58F1" w:rsidRPr="007E2F10" w:rsidRDefault="00550EE5" w:rsidP="00C8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lang w:eastAsia="en-GB"/>
        </w:rPr>
      </w:pPr>
      <w:r>
        <w:rPr>
          <w:rFonts w:eastAsia="Times New Roman" w:cstheme="minorHAnsi"/>
          <w:lang w:eastAsia="en-GB"/>
        </w:rPr>
        <w:t>In constant endocrine transformation “becoming” means to</w:t>
      </w:r>
      <w:r w:rsidR="00156664" w:rsidRPr="007E2F10">
        <w:rPr>
          <w:rFonts w:eastAsia="Times New Roman" w:cstheme="minorHAnsi"/>
          <w:lang w:eastAsia="en-GB"/>
        </w:rPr>
        <w:t xml:space="preserve"> reflect on the </w:t>
      </w:r>
      <w:r>
        <w:rPr>
          <w:rFonts w:eastAsia="Times New Roman" w:cstheme="minorHAnsi"/>
          <w:lang w:eastAsia="en-GB"/>
        </w:rPr>
        <w:t xml:space="preserve">ongoing environmentally interconnected corporeal processes as possibilities for change of normative exclusive and degrading attitudes towards deviants or marginalized species (human and non-human) in </w:t>
      </w:r>
      <w:r w:rsidR="00156664" w:rsidRPr="007E2F10">
        <w:rPr>
          <w:rFonts w:eastAsia="Times New Roman" w:cstheme="minorHAnsi"/>
          <w:lang w:eastAsia="en-GB"/>
        </w:rPr>
        <w:t xml:space="preserve">given </w:t>
      </w:r>
      <w:r>
        <w:rPr>
          <w:rFonts w:eastAsia="Times New Roman" w:cstheme="minorHAnsi"/>
          <w:lang w:eastAsia="en-GB"/>
        </w:rPr>
        <w:t xml:space="preserve">(disastrous) </w:t>
      </w:r>
      <w:r w:rsidR="00156664" w:rsidRPr="007E2F10">
        <w:rPr>
          <w:rFonts w:eastAsia="Times New Roman" w:cstheme="minorHAnsi"/>
          <w:lang w:eastAsia="en-GB"/>
        </w:rPr>
        <w:t>situation</w:t>
      </w:r>
      <w:r>
        <w:rPr>
          <w:rFonts w:eastAsia="Times New Roman" w:cstheme="minorHAnsi"/>
          <w:lang w:eastAsia="en-GB"/>
        </w:rPr>
        <w:t>s</w:t>
      </w:r>
      <w:r w:rsidR="00156664" w:rsidRPr="007E2F10">
        <w:rPr>
          <w:rFonts w:eastAsia="Times New Roman" w:cstheme="minorHAnsi"/>
          <w:lang w:eastAsia="en-GB"/>
        </w:rPr>
        <w:t xml:space="preserve"> and not</w:t>
      </w:r>
      <w:r w:rsidR="0047294E">
        <w:rPr>
          <w:rFonts w:eastAsia="Times New Roman" w:cstheme="minorHAnsi"/>
          <w:lang w:eastAsia="en-GB"/>
        </w:rPr>
        <w:t xml:space="preserve"> to</w:t>
      </w:r>
      <w:r w:rsidR="00156664" w:rsidRPr="007E2F10">
        <w:rPr>
          <w:rFonts w:eastAsia="Times New Roman" w:cstheme="minorHAnsi"/>
          <w:lang w:eastAsia="en-GB"/>
        </w:rPr>
        <w:t xml:space="preserve"> try to return to a former state of pureness.</w:t>
      </w:r>
      <w:r>
        <w:rPr>
          <w:rFonts w:eastAsia="Times New Roman" w:cstheme="minorHAnsi"/>
          <w:lang w:eastAsia="en-GB"/>
        </w:rPr>
        <w:t xml:space="preserve"> Therefore, it means acknowledging variability rather than difference from purity and inclusively encompassing dangers, resilience and potential at the same time.</w:t>
      </w:r>
      <w:r>
        <w:rPr>
          <w:rStyle w:val="Funotenzeichen"/>
          <w:rFonts w:eastAsia="Times New Roman" w:cstheme="minorHAnsi"/>
          <w:lang w:eastAsia="en-GB"/>
        </w:rPr>
        <w:footnoteReference w:id="8"/>
      </w:r>
      <w:bookmarkStart w:id="2" w:name="_GoBack"/>
      <w:bookmarkEnd w:id="2"/>
    </w:p>
    <w:p w:rsidR="0006517F" w:rsidRPr="004E1618" w:rsidRDefault="0006517F" w:rsidP="00C86402">
      <w:pPr>
        <w:rPr>
          <w:rFonts w:cstheme="minorHAnsi"/>
        </w:rPr>
      </w:pPr>
    </w:p>
    <w:sectPr w:rsidR="0006517F" w:rsidRPr="004E1618" w:rsidSect="00C03A7D">
      <w:headerReference w:type="default" r:id="rId8"/>
      <w:pgSz w:w="11905" w:h="16837" w:code="9"/>
      <w:pgMar w:top="1134" w:right="1417" w:bottom="1134"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87A" w:rsidRDefault="008E787A" w:rsidP="005C764E">
      <w:pPr>
        <w:spacing w:after="0" w:line="240" w:lineRule="auto"/>
      </w:pPr>
      <w:r>
        <w:separator/>
      </w:r>
    </w:p>
  </w:endnote>
  <w:endnote w:type="continuationSeparator" w:id="0">
    <w:p w:rsidR="008E787A" w:rsidRDefault="008E787A" w:rsidP="005C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87A" w:rsidRDefault="008E787A" w:rsidP="005C764E">
      <w:pPr>
        <w:spacing w:after="0" w:line="240" w:lineRule="auto"/>
      </w:pPr>
      <w:r>
        <w:separator/>
      </w:r>
    </w:p>
  </w:footnote>
  <w:footnote w:type="continuationSeparator" w:id="0">
    <w:p w:rsidR="008E787A" w:rsidRDefault="008E787A" w:rsidP="005C764E">
      <w:pPr>
        <w:spacing w:after="0" w:line="240" w:lineRule="auto"/>
      </w:pPr>
      <w:r>
        <w:continuationSeparator/>
      </w:r>
    </w:p>
  </w:footnote>
  <w:footnote w:id="1">
    <w:p w:rsidR="00925FBA" w:rsidRPr="00C86402" w:rsidRDefault="00925FBA">
      <w:pPr>
        <w:pStyle w:val="Funotentext"/>
      </w:pPr>
      <w:r>
        <w:rPr>
          <w:rStyle w:val="Funotenzeichen"/>
        </w:rPr>
        <w:footnoteRef/>
      </w:r>
      <w:r w:rsidR="00C86402">
        <w:t xml:space="preserve"> Cf. </w:t>
      </w:r>
      <w:proofErr w:type="spellStart"/>
      <w:r w:rsidR="00C86402">
        <w:t>Eben</w:t>
      </w:r>
      <w:proofErr w:type="spellEnd"/>
      <w:r w:rsidR="00C86402">
        <w:t xml:space="preserve"> Kirksey/Nicholas Shapiro/</w:t>
      </w:r>
      <w:r w:rsidR="00C86402" w:rsidRPr="00C86402">
        <w:t xml:space="preserve">Maria </w:t>
      </w:r>
      <w:proofErr w:type="spellStart"/>
      <w:r w:rsidR="00C86402" w:rsidRPr="00C86402">
        <w:t>Brodine</w:t>
      </w:r>
      <w:proofErr w:type="spellEnd"/>
      <w:r w:rsidR="00C86402">
        <w:t>, “Hope in Blasted L</w:t>
      </w:r>
      <w:r w:rsidR="00C86402" w:rsidRPr="00C86402">
        <w:t>andscapes</w:t>
      </w:r>
      <w:r w:rsidR="00C86402">
        <w:t xml:space="preserve">”, </w:t>
      </w:r>
      <w:r w:rsidR="00C86402" w:rsidRPr="00C86402">
        <w:rPr>
          <w:i/>
        </w:rPr>
        <w:t>The Multispecies Salon</w:t>
      </w:r>
      <w:r w:rsidR="00C86402">
        <w:rPr>
          <w:i/>
        </w:rPr>
        <w:t xml:space="preserve">, </w:t>
      </w:r>
      <w:r w:rsidR="00C86402">
        <w:t xml:space="preserve">Durham/London: Duke University Press 2014, pp. 29-63, here: p. </w:t>
      </w:r>
      <w:r w:rsidRPr="00C86402">
        <w:t>30</w:t>
      </w:r>
      <w:r w:rsidR="00C86402">
        <w:t>.</w:t>
      </w:r>
    </w:p>
  </w:footnote>
  <w:footnote w:id="2">
    <w:p w:rsidR="00750521" w:rsidRPr="00C86402" w:rsidRDefault="00750521">
      <w:pPr>
        <w:pStyle w:val="Funotentext"/>
      </w:pPr>
      <w:r>
        <w:rPr>
          <w:rStyle w:val="Funotenzeichen"/>
        </w:rPr>
        <w:footnoteRef/>
      </w:r>
      <w:r w:rsidR="00C86402">
        <w:t xml:space="preserve"> Cf. </w:t>
      </w:r>
      <w:r w:rsidR="00C86402">
        <w:t>Kirksey/Shapiro/</w:t>
      </w:r>
      <w:proofErr w:type="spellStart"/>
      <w:r w:rsidR="00C86402" w:rsidRPr="00C86402">
        <w:t>Brodine</w:t>
      </w:r>
      <w:proofErr w:type="spellEnd"/>
      <w:r w:rsidR="00C86402">
        <w:t>, “Hope in Blasted L</w:t>
      </w:r>
      <w:r w:rsidR="00C86402" w:rsidRPr="00C86402">
        <w:t>andscapes</w:t>
      </w:r>
      <w:r w:rsidR="00C86402">
        <w:t>”</w:t>
      </w:r>
      <w:r w:rsidR="00C86402">
        <w:t>, p</w:t>
      </w:r>
      <w:r w:rsidR="00C86402">
        <w:t xml:space="preserve">. </w:t>
      </w:r>
      <w:r w:rsidRPr="00C86402">
        <w:t>57</w:t>
      </w:r>
      <w:r w:rsidR="00C86402">
        <w:t>.</w:t>
      </w:r>
    </w:p>
  </w:footnote>
  <w:footnote w:id="3">
    <w:p w:rsidR="0006517F" w:rsidRPr="00C86402" w:rsidRDefault="0006517F">
      <w:pPr>
        <w:pStyle w:val="Funotentext"/>
      </w:pPr>
      <w:r>
        <w:rPr>
          <w:rStyle w:val="Funotenzeichen"/>
        </w:rPr>
        <w:footnoteRef/>
      </w:r>
      <w:r>
        <w:t xml:space="preserve"> </w:t>
      </w:r>
      <w:r w:rsidR="00C86402">
        <w:t xml:space="preserve">Cf. </w:t>
      </w:r>
      <w:r w:rsidR="00C86402">
        <w:t>Kirksey/Shapiro/</w:t>
      </w:r>
      <w:proofErr w:type="spellStart"/>
      <w:r w:rsidR="00C86402" w:rsidRPr="00C86402">
        <w:t>Brodine</w:t>
      </w:r>
      <w:proofErr w:type="spellEnd"/>
      <w:r w:rsidR="00C86402">
        <w:t>, “Hope in Blasted L</w:t>
      </w:r>
      <w:r w:rsidR="00C86402" w:rsidRPr="00C86402">
        <w:t>andscapes</w:t>
      </w:r>
      <w:r w:rsidR="00C86402">
        <w:t xml:space="preserve">”, p. </w:t>
      </w:r>
      <w:r w:rsidRPr="00C86402">
        <w:t>50</w:t>
      </w:r>
      <w:r w:rsidR="00C86402">
        <w:t>.</w:t>
      </w:r>
    </w:p>
  </w:footnote>
  <w:footnote w:id="4">
    <w:p w:rsidR="005C764E" w:rsidRPr="00C86402" w:rsidRDefault="005C764E">
      <w:pPr>
        <w:pStyle w:val="Funotentext"/>
      </w:pPr>
      <w:r>
        <w:rPr>
          <w:rStyle w:val="Funotenzeichen"/>
        </w:rPr>
        <w:footnoteRef/>
      </w:r>
      <w:r>
        <w:t xml:space="preserve"> Cf. </w:t>
      </w:r>
      <w:r w:rsidR="00C86402">
        <w:t>Kirksey/Shapiro/</w:t>
      </w:r>
      <w:proofErr w:type="spellStart"/>
      <w:r w:rsidR="00C86402" w:rsidRPr="00C86402">
        <w:t>Brodine</w:t>
      </w:r>
      <w:proofErr w:type="spellEnd"/>
      <w:r w:rsidR="00C86402">
        <w:t>, “Hope in Blasted L</w:t>
      </w:r>
      <w:r w:rsidR="00C86402" w:rsidRPr="00C86402">
        <w:t>andscapes</w:t>
      </w:r>
      <w:r w:rsidR="00C86402">
        <w:t xml:space="preserve">”, p. </w:t>
      </w:r>
      <w:r w:rsidRPr="00C86402">
        <w:t>56</w:t>
      </w:r>
      <w:r w:rsidR="00750521" w:rsidRPr="00C86402">
        <w:t>f.</w:t>
      </w:r>
    </w:p>
  </w:footnote>
  <w:footnote w:id="5">
    <w:p w:rsidR="007E2F10" w:rsidRPr="003441F7" w:rsidRDefault="007E2F10" w:rsidP="003441F7">
      <w:pPr>
        <w:pStyle w:val="Funotentext"/>
      </w:pPr>
      <w:r>
        <w:rPr>
          <w:rStyle w:val="Funotenzeichen"/>
        </w:rPr>
        <w:footnoteRef/>
      </w:r>
      <w:r>
        <w:t xml:space="preserve"> </w:t>
      </w:r>
      <w:proofErr w:type="spellStart"/>
      <w:r w:rsidR="003441F7">
        <w:t>Malin</w:t>
      </w:r>
      <w:proofErr w:type="spellEnd"/>
      <w:r w:rsidR="003441F7">
        <w:t xml:space="preserve"> Ah-King/</w:t>
      </w:r>
      <w:r w:rsidR="003441F7" w:rsidRPr="003441F7">
        <w:t>Eva Hayward</w:t>
      </w:r>
      <w:r w:rsidR="003441F7">
        <w:t xml:space="preserve">, “Toxic Sexes. Perverting Pollution and Queering Hormone Disruption”, </w:t>
      </w:r>
      <w:r w:rsidR="003441F7" w:rsidRPr="00C86402">
        <w:rPr>
          <w:i/>
        </w:rPr>
        <w:t>O-Zone</w:t>
      </w:r>
      <w:r w:rsidR="00371704">
        <w:t xml:space="preserve">, 1, 2014, p. </w:t>
      </w:r>
      <w:r w:rsidRPr="003441F7">
        <w:t>7</w:t>
      </w:r>
      <w:r w:rsidR="00371704">
        <w:t>.</w:t>
      </w:r>
    </w:p>
  </w:footnote>
  <w:footnote w:id="6">
    <w:p w:rsidR="00053F2C" w:rsidRPr="003441F7" w:rsidRDefault="00053F2C">
      <w:pPr>
        <w:pStyle w:val="Funotentext"/>
      </w:pPr>
      <w:r>
        <w:rPr>
          <w:rStyle w:val="Funotenzeichen"/>
        </w:rPr>
        <w:footnoteRef/>
      </w:r>
      <w:r>
        <w:t xml:space="preserve"> Cf</w:t>
      </w:r>
      <w:r w:rsidR="00371704">
        <w:t>.</w:t>
      </w:r>
      <w:r w:rsidR="00371704" w:rsidRPr="00371704">
        <w:t xml:space="preserve"> </w:t>
      </w:r>
      <w:r w:rsidR="00371704">
        <w:t>Ah-King/</w:t>
      </w:r>
      <w:r w:rsidR="00371704" w:rsidRPr="003441F7">
        <w:t>Hayward</w:t>
      </w:r>
      <w:r w:rsidR="00371704">
        <w:t>, “Toxic Sexes</w:t>
      </w:r>
      <w:r w:rsidR="00371704">
        <w:t>” p.</w:t>
      </w:r>
      <w:r>
        <w:t xml:space="preserve"> </w:t>
      </w:r>
      <w:r w:rsidRPr="003441F7">
        <w:t>7</w:t>
      </w:r>
      <w:r w:rsidR="00371704">
        <w:t>.</w:t>
      </w:r>
    </w:p>
  </w:footnote>
  <w:footnote w:id="7">
    <w:p w:rsidR="00550EE5" w:rsidRPr="00371704" w:rsidRDefault="00550EE5">
      <w:pPr>
        <w:pStyle w:val="Funotentext"/>
      </w:pPr>
      <w:r>
        <w:rPr>
          <w:rStyle w:val="Funotenzeichen"/>
        </w:rPr>
        <w:footnoteRef/>
      </w:r>
      <w:r>
        <w:t xml:space="preserve"> </w:t>
      </w:r>
      <w:r w:rsidR="00371704">
        <w:t>Cf.</w:t>
      </w:r>
      <w:r w:rsidR="00371704" w:rsidRPr="00371704">
        <w:t xml:space="preserve"> </w:t>
      </w:r>
      <w:r w:rsidR="00371704">
        <w:t>Ah-King/</w:t>
      </w:r>
      <w:r w:rsidR="00371704" w:rsidRPr="003441F7">
        <w:t>Hayward</w:t>
      </w:r>
      <w:r w:rsidR="00371704">
        <w:t xml:space="preserve">, “Toxic Sexes” p. </w:t>
      </w:r>
      <w:r w:rsidR="00371704" w:rsidRPr="003441F7">
        <w:t>7</w:t>
      </w:r>
      <w:r w:rsidR="00371704">
        <w:t>.</w:t>
      </w:r>
    </w:p>
  </w:footnote>
  <w:footnote w:id="8">
    <w:p w:rsidR="00550EE5" w:rsidRPr="00371704" w:rsidRDefault="00550EE5">
      <w:pPr>
        <w:pStyle w:val="Funotentext"/>
      </w:pPr>
      <w:r>
        <w:rPr>
          <w:rStyle w:val="Funotenzeichen"/>
        </w:rPr>
        <w:footnoteRef/>
      </w:r>
      <w:r>
        <w:t xml:space="preserve"> </w:t>
      </w:r>
      <w:r w:rsidR="00371704">
        <w:t>Cf.</w:t>
      </w:r>
      <w:r w:rsidR="00371704" w:rsidRPr="00371704">
        <w:t xml:space="preserve"> </w:t>
      </w:r>
      <w:r w:rsidR="00371704">
        <w:t>Ah-King/</w:t>
      </w:r>
      <w:r w:rsidR="00371704" w:rsidRPr="003441F7">
        <w:t>Hayward</w:t>
      </w:r>
      <w:r w:rsidR="00371704">
        <w:t>, “Toxic Sexes</w:t>
      </w:r>
      <w:r w:rsidR="00371704">
        <w:t xml:space="preserve">” pp. </w:t>
      </w:r>
      <w:r w:rsidRPr="00371704">
        <w:t>7-9</w:t>
      </w:r>
      <w:r w:rsidR="0037170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402" w:rsidRDefault="00C86402" w:rsidP="00C86402">
    <w:pPr>
      <w:pStyle w:val="Kopfzeile"/>
      <w:jc w:val="right"/>
    </w:pPr>
    <w:r>
      <w:t xml:space="preserve">Joseph </w:t>
    </w:r>
    <w:proofErr w:type="spellStart"/>
    <w:r>
      <w:t>Ruttinger</w:t>
    </w:r>
    <w:proofErr w:type="spellEnd"/>
    <w:r>
      <w:t>; Prague 20.05.2020</w:t>
    </w:r>
  </w:p>
  <w:p w:rsidR="00C86402" w:rsidRDefault="00C864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609"/>
    <w:multiLevelType w:val="multilevel"/>
    <w:tmpl w:val="0C07001F"/>
    <w:styleLink w:val="joruwissArbeit"/>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5F7695"/>
    <w:multiLevelType w:val="multilevel"/>
    <w:tmpl w:val="5498E24E"/>
    <w:styleLink w:val="Jo-BA-Arbeit"/>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1E"/>
    <w:rsid w:val="0002259A"/>
    <w:rsid w:val="00053F2C"/>
    <w:rsid w:val="0006517F"/>
    <w:rsid w:val="000C2D7D"/>
    <w:rsid w:val="000F0B9A"/>
    <w:rsid w:val="000F69F6"/>
    <w:rsid w:val="00156664"/>
    <w:rsid w:val="002602DB"/>
    <w:rsid w:val="00292FF0"/>
    <w:rsid w:val="00312EF9"/>
    <w:rsid w:val="00335C1C"/>
    <w:rsid w:val="003441F7"/>
    <w:rsid w:val="00364EA5"/>
    <w:rsid w:val="00371704"/>
    <w:rsid w:val="003929EC"/>
    <w:rsid w:val="00427C06"/>
    <w:rsid w:val="0047294E"/>
    <w:rsid w:val="004942FA"/>
    <w:rsid w:val="004A048A"/>
    <w:rsid w:val="004E1618"/>
    <w:rsid w:val="005171FC"/>
    <w:rsid w:val="00550EE5"/>
    <w:rsid w:val="00555ABE"/>
    <w:rsid w:val="005A785B"/>
    <w:rsid w:val="005C764E"/>
    <w:rsid w:val="005D1605"/>
    <w:rsid w:val="00710A8E"/>
    <w:rsid w:val="00722F26"/>
    <w:rsid w:val="00750521"/>
    <w:rsid w:val="007539D9"/>
    <w:rsid w:val="007E2F10"/>
    <w:rsid w:val="007E7B4B"/>
    <w:rsid w:val="007F6F09"/>
    <w:rsid w:val="00886689"/>
    <w:rsid w:val="008E787A"/>
    <w:rsid w:val="00925FBA"/>
    <w:rsid w:val="0094756B"/>
    <w:rsid w:val="00A03AFF"/>
    <w:rsid w:val="00AC58F1"/>
    <w:rsid w:val="00B5556D"/>
    <w:rsid w:val="00B8101E"/>
    <w:rsid w:val="00BD73B4"/>
    <w:rsid w:val="00C03A7D"/>
    <w:rsid w:val="00C86402"/>
    <w:rsid w:val="00C92600"/>
  </w:rsids>
  <m:mathPr>
    <m:mathFont m:val="Cambria Math"/>
    <m:brkBin m:val="before"/>
    <m:brkBinSub m:val="--"/>
    <m:smallFrac m:val="0"/>
    <m:dispDef/>
    <m:lMargin m:val="0"/>
    <m:rMargin m:val="0"/>
    <m:defJc m:val="centerGroup"/>
    <m:wrapIndent m:val="1440"/>
    <m:intLim m:val="subSup"/>
    <m:naryLim m:val="undOvr"/>
  </m:mathPr>
  <w:themeFontLang w:val="de-A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B150"/>
  <w15:chartTrackingRefBased/>
  <w15:docId w15:val="{9D6D1E7D-BC3B-4C61-A75F-923C2894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B9A"/>
    <w:pPr>
      <w:spacing w:line="360" w:lineRule="auto"/>
      <w:jc w:val="both"/>
    </w:pPr>
    <w:rPr>
      <w:sz w:val="24"/>
      <w:szCs w:val="24"/>
    </w:rPr>
  </w:style>
  <w:style w:type="paragraph" w:styleId="berschrift1">
    <w:name w:val="heading 1"/>
    <w:basedOn w:val="Standard"/>
    <w:next w:val="Standard"/>
    <w:link w:val="berschrift1Zchn"/>
    <w:uiPriority w:val="9"/>
    <w:qFormat/>
    <w:rsid w:val="00555ABE"/>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issenschaftlichesSchreiben">
    <w:name w:val="wissenschaftliches Schreiben"/>
    <w:basedOn w:val="berschrift1"/>
    <w:qFormat/>
    <w:rsid w:val="00555ABE"/>
    <w:pPr>
      <w:keepNext w:val="0"/>
      <w:keepLines w:val="0"/>
      <w:spacing w:before="100" w:beforeAutospacing="1" w:after="100" w:afterAutospacing="1"/>
    </w:pPr>
    <w:rPr>
      <w:rFonts w:ascii="Times New Roman" w:eastAsia="Times New Roman" w:hAnsi="Times New Roman" w:cs="Times New Roman"/>
      <w:bCs/>
      <w:color w:val="auto"/>
      <w:kern w:val="36"/>
      <w:sz w:val="24"/>
      <w:szCs w:val="24"/>
      <w:lang w:eastAsia="de-AT"/>
    </w:rPr>
  </w:style>
  <w:style w:type="character" w:customStyle="1" w:styleId="berschrift1Zchn">
    <w:name w:val="Überschrift 1 Zchn"/>
    <w:basedOn w:val="Absatz-Standardschriftart"/>
    <w:link w:val="berschrift1"/>
    <w:uiPriority w:val="9"/>
    <w:rsid w:val="00555ABE"/>
    <w:rPr>
      <w:rFonts w:asciiTheme="majorHAnsi" w:eastAsiaTheme="majorEastAsia" w:hAnsiTheme="majorHAnsi" w:cstheme="majorBidi"/>
      <w:color w:val="2F5496" w:themeColor="accent1" w:themeShade="BF"/>
      <w:sz w:val="32"/>
      <w:szCs w:val="32"/>
    </w:rPr>
  </w:style>
  <w:style w:type="paragraph" w:customStyle="1" w:styleId="Funotecustom">
    <w:name w:val="Fußnote custom"/>
    <w:link w:val="FunotecustomZchn"/>
    <w:autoRedefine/>
    <w:qFormat/>
    <w:rsid w:val="00722F26"/>
    <w:pPr>
      <w:spacing w:after="0" w:line="240" w:lineRule="auto"/>
      <w:jc w:val="both"/>
    </w:pPr>
    <w:rPr>
      <w:color w:val="000000" w:themeColor="text1"/>
      <w:sz w:val="18"/>
      <w:szCs w:val="18"/>
    </w:rPr>
  </w:style>
  <w:style w:type="character" w:customStyle="1" w:styleId="FunotecustomZchn">
    <w:name w:val="Fußnote custom Zchn"/>
    <w:basedOn w:val="Absatz-Standardschriftart"/>
    <w:link w:val="Funotecustom"/>
    <w:rsid w:val="00722F26"/>
    <w:rPr>
      <w:color w:val="000000" w:themeColor="text1"/>
      <w:sz w:val="18"/>
      <w:szCs w:val="18"/>
    </w:rPr>
  </w:style>
  <w:style w:type="numbering" w:customStyle="1" w:styleId="joruwissArbeit">
    <w:name w:val="joru wissArbeit"/>
    <w:uiPriority w:val="99"/>
    <w:rsid w:val="007E7B4B"/>
    <w:pPr>
      <w:numPr>
        <w:numId w:val="1"/>
      </w:numPr>
    </w:pPr>
  </w:style>
  <w:style w:type="paragraph" w:styleId="Zitat">
    <w:name w:val="Quote"/>
    <w:basedOn w:val="Standard"/>
    <w:next w:val="Standard"/>
    <w:link w:val="ZitatZchn"/>
    <w:uiPriority w:val="29"/>
    <w:qFormat/>
    <w:rsid w:val="000F69F6"/>
    <w:pPr>
      <w:spacing w:before="200" w:line="240" w:lineRule="auto"/>
      <w:ind w:left="862"/>
    </w:pPr>
    <w:rPr>
      <w:iCs/>
      <w:lang w:eastAsia="de-AT"/>
    </w:rPr>
  </w:style>
  <w:style w:type="character" w:customStyle="1" w:styleId="ZitatZchn">
    <w:name w:val="Zitat Zchn"/>
    <w:basedOn w:val="Absatz-Standardschriftart"/>
    <w:link w:val="Zitat"/>
    <w:uiPriority w:val="29"/>
    <w:rsid w:val="000F69F6"/>
    <w:rPr>
      <w:iCs/>
      <w:sz w:val="24"/>
      <w:szCs w:val="24"/>
      <w:lang w:val="en-GB" w:eastAsia="de-AT"/>
    </w:rPr>
  </w:style>
  <w:style w:type="paragraph" w:customStyle="1" w:styleId="Bibliographie">
    <w:name w:val="Bibliographie"/>
    <w:basedOn w:val="Standard"/>
    <w:link w:val="BibliographieZchn"/>
    <w:qFormat/>
    <w:rsid w:val="00427C06"/>
    <w:pPr>
      <w:spacing w:before="120" w:after="120" w:line="240" w:lineRule="auto"/>
      <w:jc w:val="left"/>
    </w:pPr>
    <w:rPr>
      <w:sz w:val="20"/>
      <w:szCs w:val="20"/>
      <w:lang w:eastAsia="de-AT"/>
    </w:rPr>
  </w:style>
  <w:style w:type="character" w:customStyle="1" w:styleId="BibliographieZchn">
    <w:name w:val="Bibliographie Zchn"/>
    <w:basedOn w:val="Absatz-Standardschriftart"/>
    <w:link w:val="Bibliographie"/>
    <w:rsid w:val="00427C06"/>
    <w:rPr>
      <w:sz w:val="20"/>
      <w:szCs w:val="20"/>
      <w:lang w:val="en-GB" w:eastAsia="de-AT"/>
    </w:rPr>
  </w:style>
  <w:style w:type="numbering" w:customStyle="1" w:styleId="Jo-BA-Arbeit">
    <w:name w:val="Jo-BA-Arbeit"/>
    <w:uiPriority w:val="99"/>
    <w:rsid w:val="004A048A"/>
    <w:pPr>
      <w:numPr>
        <w:numId w:val="2"/>
      </w:numPr>
    </w:pPr>
  </w:style>
  <w:style w:type="paragraph" w:styleId="HTMLVorformatiert">
    <w:name w:val="HTML Preformatted"/>
    <w:basedOn w:val="Standard"/>
    <w:link w:val="HTMLVorformatiertZchn"/>
    <w:uiPriority w:val="99"/>
    <w:semiHidden/>
    <w:unhideWhenUsed/>
    <w:rsid w:val="00B8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VorformatiertZchn">
    <w:name w:val="HTML Vorformatiert Zchn"/>
    <w:basedOn w:val="Absatz-Standardschriftart"/>
    <w:link w:val="HTMLVorformatiert"/>
    <w:uiPriority w:val="99"/>
    <w:semiHidden/>
    <w:rsid w:val="00B8101E"/>
    <w:rPr>
      <w:rFonts w:ascii="Courier New" w:eastAsia="Times New Roman" w:hAnsi="Courier New" w:cs="Courier New"/>
      <w:sz w:val="20"/>
      <w:szCs w:val="20"/>
      <w:lang w:eastAsia="en-GB"/>
    </w:rPr>
  </w:style>
  <w:style w:type="paragraph" w:styleId="Funotentext">
    <w:name w:val="footnote text"/>
    <w:basedOn w:val="Standard"/>
    <w:link w:val="FunotentextZchn"/>
    <w:uiPriority w:val="99"/>
    <w:unhideWhenUsed/>
    <w:rsid w:val="005C764E"/>
    <w:pPr>
      <w:spacing w:after="0" w:line="240" w:lineRule="auto"/>
    </w:pPr>
    <w:rPr>
      <w:sz w:val="20"/>
      <w:szCs w:val="20"/>
    </w:rPr>
  </w:style>
  <w:style w:type="character" w:customStyle="1" w:styleId="FunotentextZchn">
    <w:name w:val="Fußnotentext Zchn"/>
    <w:basedOn w:val="Absatz-Standardschriftart"/>
    <w:link w:val="Funotentext"/>
    <w:uiPriority w:val="99"/>
    <w:rsid w:val="005C764E"/>
    <w:rPr>
      <w:sz w:val="20"/>
      <w:szCs w:val="20"/>
    </w:rPr>
  </w:style>
  <w:style w:type="character" w:styleId="Funotenzeichen">
    <w:name w:val="footnote reference"/>
    <w:basedOn w:val="Absatz-Standardschriftart"/>
    <w:uiPriority w:val="99"/>
    <w:semiHidden/>
    <w:unhideWhenUsed/>
    <w:rsid w:val="005C764E"/>
    <w:rPr>
      <w:vertAlign w:val="superscript"/>
    </w:rPr>
  </w:style>
  <w:style w:type="paragraph" w:styleId="Kopfzeile">
    <w:name w:val="header"/>
    <w:basedOn w:val="Standard"/>
    <w:link w:val="KopfzeileZchn"/>
    <w:uiPriority w:val="99"/>
    <w:unhideWhenUsed/>
    <w:rsid w:val="00C864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6402"/>
    <w:rPr>
      <w:sz w:val="24"/>
      <w:szCs w:val="24"/>
    </w:rPr>
  </w:style>
  <w:style w:type="paragraph" w:styleId="Fuzeile">
    <w:name w:val="footer"/>
    <w:basedOn w:val="Standard"/>
    <w:link w:val="FuzeileZchn"/>
    <w:uiPriority w:val="99"/>
    <w:unhideWhenUsed/>
    <w:rsid w:val="00C864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64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AAD2-B219-4631-8813-34EB1C28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6</cp:revision>
  <dcterms:created xsi:type="dcterms:W3CDTF">2020-05-19T14:04:00Z</dcterms:created>
  <dcterms:modified xsi:type="dcterms:W3CDTF">2020-05-20T21:31:00Z</dcterms:modified>
</cp:coreProperties>
</file>