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Sedláčková, Potůčková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DEAF  GAIN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VÝHODY VYUČOVÁNÍ ZNAKOVÉHO JAZYKA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Pierre Desloges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1779 - 1. kniha publikovaná neslyšícím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Étienne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Condillac + Pierre Desloges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navrhovali výuku znakových jazyků i pro slyšící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60. let 20. století nebyly znakové jazyky uznány jako přirozené jazyky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William Stokoe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(1919-2000)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americký profesor, vyučoval na Gallaudetově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univerzitě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60. léta –&gt; porovnával ASL s mluvenými jazyky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znaky ASL mají gramatický význam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následně roste zájem o studium znakových jazyků po světě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VÝSLEDEK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znakové jazyky jsou přirozené jazyky – mají vlastní syntax, gramatiku, fonologii, morfologii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VÝZKUMY</w:t>
      </w:r>
    </w:p>
    <w:p w:rsidR="00000000" w:rsidDel="00000000" w:rsidP="00000000" w:rsidRDefault="00000000" w:rsidRPr="00000000" w14:paraId="00000015">
      <w:pPr>
        <w:spacing w:after="0" w:before="20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•neslyšící, kteří umí znakový jazyk, a slyšící, kteří neumí znakový jazyk, dosáhli rozdílných výsledků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vědci nedokázali určit příčinu – ovládání znakového jazyka/stav sluchu (nebo obě)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snaha dokázat přínos ZJ pro všechny bez ohledu na stav sluchu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Existují výhody, které mohou mít pouze neslyšící?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00" w:line="21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200" w:line="216" w:lineRule="auto"/>
        <w:rPr>
          <w:rFonts w:ascii="Calibri" w:cs="Calibri" w:eastAsia="Calibri" w:hAnsi="Calibri"/>
          <w:b w:val="1"/>
          <w:color w:val="000000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0"/>
          <w:szCs w:val="30"/>
          <w:rtl w:val="0"/>
        </w:rPr>
        <w:t xml:space="preserve">DEAF GAIN</w:t>
      </w:r>
    </w:p>
    <w:p w:rsidR="00000000" w:rsidDel="00000000" w:rsidP="00000000" w:rsidRDefault="00000000" w:rsidRPr="00000000" w14:paraId="0000001B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•zahrnuje jak přínos neslyšících a znakového jazyka, tak výhody toho být neslyšící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opačný pohled než Deafness, hearing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loss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neslyšícím chybí jeden smysl, jsou znevýhodněni oproti většinové společnosti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•Sign Gain (přínos znakového jazyka, schopnosti získané jeho učením) – platí pro neslyšící i slyšící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•snaha dokázat, že neslyšící i slyšící lidé, kteří znakují, mají lepší schopnosti než ostatní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200" w:line="21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200" w:line="216" w:lineRule="auto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Face-Processing Advantages</w:t>
        <w:br w:type="textWrapping"/>
        <w:t xml:space="preserve">(zpracování obličeje)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200" w:line="216" w:lineRule="auto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•ti, co plynule ovládají znakový jazyk, se více soustředí na obličej než na ruce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Benton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Test of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Facial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Recognititon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nezahrnoval test paměti, lépe dopadli ti, kteří ovládají znakový jazyk (bez ohledu na věk, rodný jazyk, stav sluchu)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200" w:line="216" w:lineRule="auto"/>
        <w:rPr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K. Emmorey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a S. McCullough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ti, co ovládají znakový jazyk, se více zaměřují na rysy obličeje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znakové jazyky se omezují na lokální rysy (oči, nos, ústa)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nejlépe dopadli neslyšící, kteří ovládají znakový jazyk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20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200" w:line="216" w:lineRule="auto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Memory-Processing Advantages</w:t>
        <w:br w:type="textWrapping"/>
        <w:t xml:space="preserve">(paměť)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vizuální paměť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200" w:line="216" w:lineRule="auto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•dotazovaným ukázali 3D objekt, poté ho měli najít ve skupině podobných objektů, které byly jinak orientované v prostoru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lepšího výsledku dosáhli ti, co ovládají znakový jazyk (N i 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20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prostorová paměť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typ vizuální krátkodobé paměti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představy o umístění objektů v prostoru (kde to je)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mluvčí ve svém znakovacím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prostoru vyjadřuje prostorové vztahy mezi objekty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200" w:line="21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200" w:line="21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Motion-Processing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Advantages</w:t>
        <w:br w:type="textWrapping"/>
        <w:t xml:space="preserve">(pohyb)</w:t>
      </w:r>
    </w:p>
    <w:p w:rsidR="00000000" w:rsidDel="00000000" w:rsidP="00000000" w:rsidRDefault="00000000" w:rsidRPr="00000000" w14:paraId="00000032">
      <w:pPr>
        <w:spacing w:after="0" w:before="200" w:line="216" w:lineRule="auto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•drobná změna pohybu mění význam sdělení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Mají ti, co ovládají znakový jazyk, rozvinutější schopnost odlišit drobné rozdíly mezi pohyby?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•studie ASL a CSL (čínský znakový jazyk)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•rozdíl byl v typech pohybů, které rozlišovali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uživatelé ASL rozlišovali rozdíly mezi rovnými a obloukovitými pohyby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uživatelé CSL rozlišovali rozdíly mezi rovnými a kruhovými pohyby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20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200" w:line="216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200" w:line="216" w:lineRule="auto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Deaf-Education Advantages</w:t>
        <w:br w:type="textWrapping"/>
        <w:t xml:space="preserve">(vzdělávání)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200" w:line="216" w:lineRule="auto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•v USA je ASL 4. nejvyučovanějším cizím jazykem na VŠ a univerzitách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roste počet lidí (dětí i dospělých) navštěvujících kurzy znakového jazyka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ALE: S rodiče jsou odrazováni od výuky a používání znakového jazyka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200" w:line="216" w:lineRule="auto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&gt; věří, že se jejich N dítě nenaučí mluvit, že se o sebe nepostará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200" w:line="216" w:lineRule="auto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•N děti, které se učí mluvený i znakový jazyk, mají větší slovní zásobu, umí se lépe vyjádřit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učení se znakového jazyka nebrzdí rozvoj mluveného jazyka a naopak)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200" w:line="216" w:lineRule="auto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•–&gt; děti, které se neučily znakový jazyk, hůře vnímaly řeč, hůře mluvily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200" w:line="216" w:lineRule="auto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•znakový jazyk pomáhá N i S dětem s rozvojem čtenářských dovedností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ToM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Research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(“theory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of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mind“) vnímání situace z perspektivy jiného člověka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200" w:line="21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•N děti, které se neučí ZJ, jsou na úrovni S dětí s autismem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200" w:line="216" w:lineRule="auto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200" w:line="216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200" w:line="216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20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200" w:line="216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20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20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200" w:line="216" w:lineRule="auto"/>
        <w:rPr>
          <w:rFonts w:ascii="Calibri" w:cs="Calibri" w:eastAsia="Calibri" w:hAnsi="Calibri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20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20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200" w:line="216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20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20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