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D33EA4" w14:paraId="72CF2CBD" wp14:textId="42ECC2A8">
      <w:pPr>
        <w:pStyle w:val="Normal"/>
        <w:spacing w:after="60" w:afterAutospacing="off"/>
        <w:jc w:val="left"/>
        <w:rPr>
          <w:b w:val="1"/>
          <w:bCs w:val="1"/>
          <w:sz w:val="20"/>
          <w:szCs w:val="20"/>
        </w:rPr>
      </w:pPr>
      <w:bookmarkStart w:name="_GoBack" w:id="0"/>
      <w:bookmarkEnd w:id="0"/>
      <w:r w:rsidRPr="66D33EA4" w:rsidR="66D33EA4">
        <w:rPr>
          <w:b w:val="1"/>
          <w:bCs w:val="1"/>
          <w:sz w:val="20"/>
          <w:szCs w:val="20"/>
        </w:rPr>
        <w:t>OPEN YOUR EYES</w:t>
      </w:r>
    </w:p>
    <w:p xmlns:wp14="http://schemas.microsoft.com/office/word/2010/wordml" w:rsidP="6C33B2DE" w14:paraId="075E9EEA" wp14:textId="70C6B311">
      <w:pPr>
        <w:pStyle w:val="Normal"/>
        <w:spacing w:after="60" w:afterAutospacing="off"/>
        <w:jc w:val="left"/>
        <w:rPr>
          <w:b w:val="1"/>
          <w:bCs w:val="1"/>
          <w:sz w:val="20"/>
          <w:szCs w:val="20"/>
        </w:rPr>
      </w:pPr>
      <w:r w:rsidRPr="6C33B2DE" w:rsidR="6C33B2DE">
        <w:rPr>
          <w:b w:val="1"/>
          <w:bCs w:val="1"/>
          <w:sz w:val="20"/>
          <w:szCs w:val="20"/>
        </w:rPr>
        <w:t xml:space="preserve">WHERE IS </w:t>
      </w:r>
      <w:r w:rsidRPr="6C33B2DE" w:rsidR="6C33B2DE">
        <w:rPr>
          <w:b w:val="1"/>
          <w:bCs w:val="1"/>
          <w:sz w:val="20"/>
          <w:szCs w:val="20"/>
        </w:rPr>
        <w:t>DEAF HER</w:t>
      </w:r>
      <w:r w:rsidRPr="6C33B2DE" w:rsidR="6C33B2DE">
        <w:rPr>
          <w:b w:val="1"/>
          <w:bCs w:val="1"/>
          <w:sz w:val="20"/>
          <w:szCs w:val="20"/>
        </w:rPr>
        <w:t>STORY?</w:t>
      </w:r>
    </w:p>
    <w:p w:rsidR="66D33EA4" w:rsidP="66D33EA4" w:rsidRDefault="66D33EA4" w14:paraId="3B7F25AB" w14:textId="79AE05D9">
      <w:pPr>
        <w:pStyle w:val="Normal"/>
        <w:spacing w:after="60" w:afterAutospacing="off"/>
        <w:jc w:val="left"/>
        <w:rPr>
          <w:b w:val="1"/>
          <w:bCs w:val="1"/>
          <w:sz w:val="20"/>
          <w:szCs w:val="20"/>
        </w:rPr>
      </w:pPr>
      <w:r w:rsidRPr="66D33EA4" w:rsidR="66D33EA4">
        <w:rPr>
          <w:b w:val="1"/>
          <w:bCs w:val="1"/>
          <w:sz w:val="20"/>
          <w:szCs w:val="20"/>
        </w:rPr>
        <w:t>KAM SE PODĚLA HISTORIE NESLYŠÍCÍCH ŽEN?</w:t>
      </w:r>
    </w:p>
    <w:p w:rsidR="66D33EA4" w:rsidP="66D33EA4" w:rsidRDefault="66D33EA4" w14:paraId="69FF546D" w14:textId="5CEC75B6">
      <w:pPr>
        <w:pStyle w:val="Normal"/>
        <w:spacing w:after="60" w:afterAutospacing="off"/>
        <w:rPr>
          <w:sz w:val="20"/>
          <w:szCs w:val="20"/>
        </w:rPr>
      </w:pPr>
    </w:p>
    <w:p w:rsidR="66D33EA4" w:rsidP="66D33EA4" w:rsidRDefault="66D33EA4" w14:paraId="31D8DA6D" w14:textId="38ECBF73">
      <w:pPr>
        <w:pStyle w:val="Normal"/>
        <w:spacing w:after="60" w:afterAutospacing="off"/>
        <w:rPr>
          <w:b w:val="1"/>
          <w:bCs w:val="1"/>
          <w:sz w:val="20"/>
          <w:szCs w:val="20"/>
        </w:rPr>
      </w:pPr>
      <w:r w:rsidRPr="66D33EA4" w:rsidR="66D33EA4">
        <w:rPr>
          <w:b w:val="1"/>
          <w:bCs w:val="1"/>
          <w:sz w:val="20"/>
          <w:szCs w:val="20"/>
        </w:rPr>
        <w:t>Většina vs. menšina</w:t>
      </w:r>
    </w:p>
    <w:p w:rsidR="66D33EA4" w:rsidP="66D33EA4" w:rsidRDefault="66D33EA4" w14:paraId="3E5D19E5" w14:textId="54836861">
      <w:pPr>
        <w:pStyle w:val="Normal"/>
        <w:spacing w:after="60" w:afterAutospacing="off"/>
        <w:rPr>
          <w:sz w:val="20"/>
          <w:szCs w:val="20"/>
        </w:rPr>
      </w:pPr>
      <w:r w:rsidRPr="66D33EA4" w:rsidR="66D33EA4">
        <w:rPr>
          <w:sz w:val="20"/>
          <w:szCs w:val="20"/>
        </w:rPr>
        <w:t xml:space="preserve">– </w:t>
      </w:r>
      <w:r w:rsidRPr="66D33EA4" w:rsidR="66D33EA4">
        <w:rPr>
          <w:sz w:val="20"/>
          <w:szCs w:val="20"/>
        </w:rPr>
        <w:t>muži x ženy</w:t>
      </w:r>
    </w:p>
    <w:p w:rsidR="66D33EA4" w:rsidP="66D33EA4" w:rsidRDefault="66D33EA4" w14:paraId="70EAC72B" w14:textId="30C81A04">
      <w:pPr>
        <w:pStyle w:val="Normal"/>
        <w:spacing w:after="60" w:afterAutospacing="off"/>
        <w:rPr>
          <w:sz w:val="20"/>
          <w:szCs w:val="20"/>
        </w:rPr>
      </w:pPr>
      <w:r w:rsidRPr="66D33EA4" w:rsidR="66D33EA4">
        <w:rPr>
          <w:sz w:val="20"/>
          <w:szCs w:val="20"/>
        </w:rPr>
        <w:t xml:space="preserve">– </w:t>
      </w:r>
      <w:r w:rsidRPr="66D33EA4" w:rsidR="66D33EA4">
        <w:rPr>
          <w:sz w:val="20"/>
          <w:szCs w:val="20"/>
        </w:rPr>
        <w:t>slyšící x neslyšící</w:t>
      </w:r>
    </w:p>
    <w:p w:rsidR="66D33EA4" w:rsidP="66D33EA4" w:rsidRDefault="66D33EA4" w14:paraId="268D8CFC" w14:textId="0AA4ACC8">
      <w:pPr>
        <w:pStyle w:val="Normal"/>
        <w:spacing w:after="60" w:afterAutospacing="off"/>
        <w:rPr>
          <w:sz w:val="20"/>
          <w:szCs w:val="20"/>
        </w:rPr>
      </w:pPr>
      <w:r w:rsidRPr="66D33EA4" w:rsidR="66D33EA4">
        <w:rPr>
          <w:sz w:val="20"/>
          <w:szCs w:val="20"/>
        </w:rPr>
        <w:t xml:space="preserve">– </w:t>
      </w:r>
      <w:r w:rsidRPr="66D33EA4" w:rsidR="66D33EA4">
        <w:rPr>
          <w:sz w:val="20"/>
          <w:szCs w:val="20"/>
        </w:rPr>
        <w:t>slyšící muži x neslyšící ženy</w:t>
      </w:r>
      <w:r w:rsidRPr="66D33EA4" w:rsidR="66D33EA4">
        <w:rPr>
          <w:sz w:val="20"/>
          <w:szCs w:val="20"/>
        </w:rPr>
        <w:t xml:space="preserve"> –&gt; “menšina v menšině”</w:t>
      </w:r>
    </w:p>
    <w:p w:rsidR="66D33EA4" w:rsidP="66D33EA4" w:rsidRDefault="66D33EA4" w14:paraId="579E8D2B" w14:textId="7B8897F5">
      <w:pPr>
        <w:pStyle w:val="Normal"/>
        <w:spacing w:after="60" w:afterAutospacing="off"/>
        <w:rPr>
          <w:b w:val="1"/>
          <w:bCs w:val="1"/>
          <w:sz w:val="20"/>
          <w:szCs w:val="20"/>
        </w:rPr>
      </w:pPr>
      <w:r w:rsidRPr="66D33EA4" w:rsidR="66D33EA4">
        <w:rPr>
          <w:b w:val="1"/>
          <w:bCs w:val="1"/>
          <w:sz w:val="20"/>
          <w:szCs w:val="20"/>
        </w:rPr>
        <w:t>Historické texty</w:t>
      </w:r>
    </w:p>
    <w:p w:rsidR="66D33EA4" w:rsidP="66D33EA4" w:rsidRDefault="66D33EA4" w14:paraId="471D36AE" w14:textId="114B442F">
      <w:pPr>
        <w:pStyle w:val="Normal"/>
        <w:spacing w:after="60" w:afterAutospacing="off"/>
        <w:rPr>
          <w:sz w:val="20"/>
          <w:szCs w:val="20"/>
        </w:rPr>
      </w:pPr>
      <w:r w:rsidRPr="66D33EA4" w:rsidR="66D33EA4">
        <w:rPr>
          <w:sz w:val="20"/>
          <w:szCs w:val="20"/>
        </w:rPr>
        <w:t>– psány zdravými bílými muži –&gt; absence menšin</w:t>
      </w:r>
    </w:p>
    <w:p w:rsidR="66D33EA4" w:rsidP="66D33EA4" w:rsidRDefault="66D33EA4" w14:paraId="014FAAEF" w14:textId="44639F1A">
      <w:pPr>
        <w:pStyle w:val="Normal"/>
        <w:spacing w:after="60" w:afterAutospacing="off"/>
        <w:rPr>
          <w:rFonts w:ascii="Calibri" w:hAnsi="Calibri" w:eastAsia="Calibri" w:cs="Calibri"/>
          <w:noProof w:val="0"/>
          <w:sz w:val="20"/>
          <w:szCs w:val="20"/>
          <w:lang w:val="cs-CZ"/>
        </w:rPr>
      </w:pPr>
      <w:r w:rsidRPr="66D33EA4" w:rsidR="66D33EA4">
        <w:rPr>
          <w:rFonts w:ascii="Calibri" w:hAnsi="Calibri" w:eastAsia="Calibri" w:cs="Calibri"/>
          <w:noProof w:val="0"/>
          <w:sz w:val="20"/>
          <w:szCs w:val="20"/>
          <w:lang w:val="cs-CZ"/>
        </w:rPr>
        <w:t>– o menšinách zpravidla nepíšou sami příslušníci menšin, neboť jsou příslušníci menšin; nebylo jim zpřístupněno vzdělávání, aby mohli sami o sobě něco napsat</w:t>
      </w:r>
    </w:p>
    <w:p w:rsidR="66D33EA4" w:rsidP="66D33EA4" w:rsidRDefault="66D33EA4" w14:paraId="4C866A4F" w14:textId="76438494">
      <w:pPr>
        <w:pStyle w:val="Normal"/>
        <w:spacing w:after="60" w:afterAutospacing="off"/>
        <w:rPr>
          <w:b w:val="1"/>
          <w:bCs w:val="1"/>
          <w:sz w:val="20"/>
          <w:szCs w:val="20"/>
        </w:rPr>
      </w:pPr>
      <w:r w:rsidRPr="66D33EA4" w:rsidR="66D33EA4">
        <w:rPr>
          <w:b w:val="1"/>
          <w:bCs w:val="1"/>
          <w:sz w:val="20"/>
          <w:szCs w:val="20"/>
        </w:rPr>
        <w:t>Feminismus</w:t>
      </w:r>
    </w:p>
    <w:p w:rsidR="66D33EA4" w:rsidP="66D33EA4" w:rsidRDefault="66D33EA4" w14:paraId="22AFF476" w14:textId="5B437DCE">
      <w:pPr>
        <w:pStyle w:val="Normal"/>
        <w:spacing w:after="60" w:afterAutospacing="off"/>
        <w:rPr>
          <w:sz w:val="20"/>
          <w:szCs w:val="20"/>
        </w:rPr>
      </w:pPr>
      <w:r w:rsidRPr="66D33EA4" w:rsidR="66D33EA4">
        <w:rPr>
          <w:sz w:val="20"/>
          <w:szCs w:val="20"/>
        </w:rPr>
        <w:t>– ženy si zaslouží mít stejná práva jako muži, oba gendery si jsou rovnocenné</w:t>
      </w:r>
    </w:p>
    <w:p w:rsidR="66D33EA4" w:rsidP="66D33EA4" w:rsidRDefault="66D33EA4" w14:paraId="27A9127C" w14:textId="083F4F93">
      <w:pPr>
        <w:pStyle w:val="Normal"/>
        <w:spacing w:after="60" w:afterAutospacing="off"/>
        <w:rPr>
          <w:sz w:val="20"/>
          <w:szCs w:val="20"/>
        </w:rPr>
      </w:pPr>
      <w:r w:rsidRPr="66D33EA4" w:rsidR="66D33EA4">
        <w:rPr>
          <w:sz w:val="20"/>
          <w:szCs w:val="20"/>
        </w:rPr>
        <w:t>– postupná emancipace, která stále nebyla dokončena</w:t>
      </w:r>
    </w:p>
    <w:p w:rsidR="66D33EA4" w:rsidP="66D33EA4" w:rsidRDefault="66D33EA4" w14:paraId="2D104BF9" w14:textId="3677A3C8">
      <w:pPr>
        <w:pStyle w:val="Normal"/>
        <w:spacing w:after="60" w:afterAutospacing="off"/>
        <w:rPr>
          <w:b w:val="1"/>
          <w:bCs w:val="1"/>
          <w:sz w:val="20"/>
          <w:szCs w:val="20"/>
        </w:rPr>
      </w:pPr>
      <w:r w:rsidRPr="66D33EA4" w:rsidR="66D33EA4">
        <w:rPr>
          <w:b w:val="1"/>
          <w:bCs w:val="1"/>
          <w:sz w:val="20"/>
          <w:szCs w:val="20"/>
        </w:rPr>
        <w:t>Neslyšící žena</w:t>
      </w:r>
    </w:p>
    <w:p w:rsidR="66D33EA4" w:rsidP="66D33EA4" w:rsidRDefault="66D33EA4" w14:paraId="15A84A4D" w14:textId="72A608D3">
      <w:pPr>
        <w:pStyle w:val="Normal"/>
        <w:spacing w:after="60" w:afterAutospacing="off"/>
        <w:rPr>
          <w:sz w:val="20"/>
          <w:szCs w:val="20"/>
        </w:rPr>
      </w:pPr>
      <w:r w:rsidRPr="66D33EA4" w:rsidR="66D33EA4">
        <w:rPr>
          <w:sz w:val="20"/>
          <w:szCs w:val="20"/>
        </w:rPr>
        <w:t>– identita neslyšícího člověka, nikoliv neslyšící ženy</w:t>
      </w:r>
    </w:p>
    <w:p w:rsidR="66D33EA4" w:rsidP="66D33EA4" w:rsidRDefault="66D33EA4" w14:paraId="09644414" w14:textId="5235E459">
      <w:pPr>
        <w:pStyle w:val="Normal"/>
        <w:spacing w:after="60" w:afterAutospacing="off"/>
        <w:rPr>
          <w:sz w:val="20"/>
          <w:szCs w:val="20"/>
        </w:rPr>
      </w:pPr>
      <w:r w:rsidRPr="66D33EA4" w:rsidR="66D33EA4">
        <w:rPr>
          <w:sz w:val="20"/>
          <w:szCs w:val="20"/>
        </w:rPr>
        <w:t xml:space="preserve">– </w:t>
      </w:r>
      <w:proofErr w:type="spellStart"/>
      <w:r w:rsidRPr="66D33EA4" w:rsidR="66D33EA4">
        <w:rPr>
          <w:sz w:val="20"/>
          <w:szCs w:val="20"/>
        </w:rPr>
        <w:t>deaf</w:t>
      </w:r>
      <w:proofErr w:type="spellEnd"/>
      <w:r w:rsidRPr="66D33EA4" w:rsidR="66D33EA4">
        <w:rPr>
          <w:sz w:val="20"/>
          <w:szCs w:val="20"/>
        </w:rPr>
        <w:t xml:space="preserve"> </w:t>
      </w:r>
      <w:proofErr w:type="spellStart"/>
      <w:r w:rsidRPr="66D33EA4" w:rsidR="66D33EA4">
        <w:rPr>
          <w:sz w:val="20"/>
          <w:szCs w:val="20"/>
        </w:rPr>
        <w:t>women</w:t>
      </w:r>
      <w:proofErr w:type="spellEnd"/>
      <w:r w:rsidRPr="66D33EA4" w:rsidR="66D33EA4">
        <w:rPr>
          <w:sz w:val="20"/>
          <w:szCs w:val="20"/>
        </w:rPr>
        <w:t xml:space="preserve"> </w:t>
      </w:r>
      <w:proofErr w:type="spellStart"/>
      <w:r w:rsidRPr="66D33EA4" w:rsidR="66D33EA4">
        <w:rPr>
          <w:sz w:val="20"/>
          <w:szCs w:val="20"/>
        </w:rPr>
        <w:t>studies</w:t>
      </w:r>
      <w:proofErr w:type="spellEnd"/>
      <w:r w:rsidRPr="66D33EA4" w:rsidR="66D33EA4">
        <w:rPr>
          <w:sz w:val="20"/>
          <w:szCs w:val="20"/>
        </w:rPr>
        <w:t xml:space="preserve"> = materiály připravené neslyšícími ženami o neslyšících ženách pro neslyšící ženy (i veřejnost)</w:t>
      </w:r>
    </w:p>
    <w:p w:rsidR="66D33EA4" w:rsidP="66D33EA4" w:rsidRDefault="66D33EA4" w14:paraId="5F723417" w14:textId="3C8078CE">
      <w:pPr>
        <w:pStyle w:val="Normal"/>
        <w:spacing w:after="60" w:afterAutospacing="off"/>
        <w:rPr>
          <w:b w:val="1"/>
          <w:bCs w:val="1"/>
          <w:sz w:val="20"/>
          <w:szCs w:val="20"/>
        </w:rPr>
      </w:pPr>
      <w:r w:rsidRPr="66D33EA4" w:rsidR="66D33EA4">
        <w:rPr>
          <w:b w:val="1"/>
          <w:bCs w:val="1"/>
          <w:sz w:val="20"/>
          <w:szCs w:val="20"/>
        </w:rPr>
        <w:t>Neslyšící, kteří se zapsali do historie</w:t>
      </w:r>
    </w:p>
    <w:p w:rsidR="66D33EA4" w:rsidP="66D33EA4" w:rsidRDefault="66D33EA4" w14:paraId="3DC1FB6A" w14:textId="23FB6A0B">
      <w:pPr>
        <w:pStyle w:val="Normal"/>
        <w:spacing w:after="60" w:afterAutospacing="off"/>
        <w:rPr>
          <w:sz w:val="20"/>
          <w:szCs w:val="20"/>
        </w:rPr>
      </w:pPr>
      <w:r w:rsidRPr="66D33EA4" w:rsidR="66D33EA4">
        <w:rPr>
          <w:sz w:val="20"/>
          <w:szCs w:val="20"/>
        </w:rPr>
        <w:t>– Ludwig van Beethoven – skladatel</w:t>
      </w:r>
    </w:p>
    <w:p w:rsidR="66D33EA4" w:rsidP="66D33EA4" w:rsidRDefault="66D33EA4" w14:paraId="0031A23E" w14:textId="7B9E23BC">
      <w:pPr>
        <w:pStyle w:val="Normal"/>
        <w:spacing w:after="60" w:afterAutospacing="off"/>
        <w:rPr>
          <w:sz w:val="20"/>
          <w:szCs w:val="20"/>
        </w:rPr>
      </w:pPr>
      <w:r w:rsidRPr="66D33EA4" w:rsidR="66D33EA4">
        <w:rPr>
          <w:sz w:val="20"/>
          <w:szCs w:val="20"/>
        </w:rPr>
        <w:t>– Thomas Alva Edison – vynálezce</w:t>
      </w:r>
    </w:p>
    <w:p w:rsidR="66D33EA4" w:rsidP="66D33EA4" w:rsidRDefault="66D33EA4" w14:paraId="06CB30B0" w14:textId="630F754A">
      <w:pPr>
        <w:pStyle w:val="Normal"/>
        <w:spacing w:after="60" w:afterAutospacing="off"/>
        <w:rPr>
          <w:sz w:val="20"/>
          <w:szCs w:val="20"/>
        </w:rPr>
      </w:pPr>
      <w:r w:rsidRPr="66D33EA4" w:rsidR="66D33EA4">
        <w:rPr>
          <w:sz w:val="20"/>
          <w:szCs w:val="20"/>
        </w:rPr>
        <w:t>– Helen Keller – spisovatelka, aktivistka</w:t>
      </w:r>
    </w:p>
    <w:sectPr>
      <w:pgSz w:w="8391" w:h="11907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7841CA"/>
  <w15:docId w15:val="{fbcb037d-4c52-4dce-8333-e5170f01f856}"/>
  <w:rsids>
    <w:rsidRoot w:val="6B69C43D"/>
    <w:rsid w:val="66D33EA4"/>
    <w:rsid w:val="6B69C43D"/>
    <w:rsid w:val="6C33B2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2019-11-28T10:10:07.3875812Z</dcterms:created>
  <dcterms:modified xsi:type="dcterms:W3CDTF">2019-11-29T20:34:56.8081696Z</dcterms:modified>
  <dc:creator>Pavlína Syrůčková</dc:creator>
  <lastModifiedBy>Pavlína Syrůčková</lastModifiedBy>
</coreProperties>
</file>