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A11C5" w:rsidRPr="004A11C5" w:rsidRDefault="004A11C5" w:rsidP="004A11C5">
      <w:pPr>
        <w:rPr>
          <w:b/>
        </w:rPr>
      </w:pPr>
      <w:r w:rsidRPr="004A11C5">
        <w:rPr>
          <w:b/>
        </w:rPr>
        <w:t>China sets itself a lofty growth target</w:t>
      </w:r>
    </w:p>
    <w:p w:rsidR="004A11C5" w:rsidRPr="004A11C5" w:rsidRDefault="004A11C5" w:rsidP="004A11C5">
      <w:r w:rsidRPr="004A11C5">
        <w:t xml:space="preserve">MARK the date on your calendar: on January 17th next year, China will report that economic growth in 2016 was no lower than 6.5% and no higher than 7%. What explains such clairvoyance? Because the government has now formally unveiled its growth target for the current year, putting it at 6.5-7%. Chinese GDP targets, </w:t>
      </w:r>
      <w:proofErr w:type="gramStart"/>
      <w:r w:rsidRPr="004A11C5">
        <w:t>once set</w:t>
      </w:r>
      <w:proofErr w:type="gramEnd"/>
      <w:r w:rsidRPr="004A11C5">
        <w:t>, have a way of coming true. All the economy’s many uncertainties—rising debt, rich-world doldrums, currency volatility—melt away as if nothing in the face of its leaders’ conviction. But in their pursuit of their goal, Chinese leaders still have many options.</w:t>
      </w:r>
    </w:p>
    <w:p w:rsidR="004A11C5" w:rsidRPr="004A11C5" w:rsidRDefault="004A11C5" w:rsidP="004A11C5">
      <w:r w:rsidRPr="004A11C5">
        <w:t>The GDP target was announced on March 5th by Li Keqiang, the prime minister (pictured), in his report at the start of the annual session of the country’s rubber-stamp parliament, the National People’s Congress. Some credit is due to China in setting a target range as opposed to its past practice of shooting for a single specific number. There is no sense in managing an economy, especially one as big and complex as China’s, so that it can hit a bullseye. Flexibility is far better. The problem, however, is that the target range is still too high. Before Mr Li revealed his plans, many economists had reckoned that Chinese growth would be less than 6.5% this year; the IMF had forecast an expansion of 6.3%. </w:t>
      </w:r>
    </w:p>
    <w:p w:rsidR="004A11C5" w:rsidRPr="004A11C5" w:rsidRDefault="004A11C5" w:rsidP="004A11C5">
      <w:r w:rsidRPr="004A11C5">
        <w:t>By setting a high target, China creates two dangerous temptations for itself. The first is to massage data to make growth appear stronger than it actually is. There have long been concerns that China is wont to adopt such tactics; as headwinds to China’s growth intensify, such doubts will be all the more widespread this year.</w:t>
      </w:r>
    </w:p>
    <w:p w:rsidR="004A11C5" w:rsidRPr="004A11C5" w:rsidRDefault="004A11C5" w:rsidP="004A11C5">
      <w:r w:rsidRPr="004A11C5">
        <w:t>The second temptation will be for the government to gin up growth more than is warranted. It is in this respect that the other details of Mr Li’s report make interesting reading. It suggests China will lean more heavily on both fiscal and monetary policy to hit its growth target. It has planned for a deficit of 3% of GDP, up from 2.3% last year. It is also aiming for 13% growth of M2 (a broad gauge of the money supply), up from 12% last year.</w:t>
      </w:r>
    </w:p>
    <w:p w:rsidR="004A11C5" w:rsidRPr="004A11C5" w:rsidRDefault="004A11C5" w:rsidP="004A11C5">
      <w:r w:rsidRPr="004A11C5">
        <w:t>On the surface, neither sounds like much of an increase. But they signal that the government is ready to ratchet up pro-growth measures. Moreover, the deficit target in fact only refers to on-budget spending. Since the government has several off-budget levers, the real deficit is likely to exceed the 3% mark. As for monetary policy, it is already loose, as shown by credit growth in January, with 2.51 trillion yuan ($385 billion) in new lending by Chinese banks, the most ever in a single month.</w:t>
      </w:r>
    </w:p>
    <w:p w:rsidR="004A11C5" w:rsidRPr="004A11C5" w:rsidRDefault="004A11C5" w:rsidP="004A11C5">
      <w:r w:rsidRPr="004A11C5">
        <w:t>China has an old habit of turning to stimulus when growth fades. But the nature of the stimulus is changing. In previous years, the government relied on heavy spending. This time it has actually called for a lower rate of growth in fixed-asset investment, from a targeted rate of 15% last year. Instead, much of the fiscal push appears set to come from lower taxes: China is aiming for just 3% growth in this year’s budget revenue, down from a target of 7.3% last year. That is consistent with the concept of supply-side economics that has gained favour in Beijing in recent months: the idea is to clear the path for private companies, not just pour more money into infrastructure projects dominated by state-owned firms.</w:t>
      </w:r>
    </w:p>
    <w:p w:rsidR="004A11C5" w:rsidRPr="004A11C5" w:rsidRDefault="004A11C5" w:rsidP="004A11C5">
      <w:r w:rsidRPr="004A11C5">
        <w:t>There was also some welcome realism in Mr Li’s view on global trade. After badly missing last year’s trade target (China had aimed for 6% growth, but both imports and exports contracted), the government opted against setting one this year. The external environment is beyond its control and it does not care to be embarrassed again.</w:t>
      </w:r>
    </w:p>
    <w:p w:rsidR="004A11C5" w:rsidRDefault="004A11C5">
      <w:r w:rsidRPr="004A11C5">
        <w:lastRenderedPageBreak/>
        <w:t>Domestically, though, the government is still confident of its grip. As well as setting a GDP target for 2016, Mr Li confirmed a central objective of China’s new five-year economic plan (to be approved during the parliamentary session, which lasts about ten days). It is that the economy will grow by an average of 6.5% between now and 2020. “By that time, our economy’s size will have exceeded 90 trillion yuan,” he said. Omniscience is a wonderful thing.</w:t>
      </w:r>
    </w:p>
    <w:p w:rsidR="008F6C97" w:rsidRDefault="004A11C5">
      <w:hyperlink r:id="rId5" w:history="1">
        <w:r w:rsidRPr="00B36C8E">
          <w:rPr>
            <w:rStyle w:val="Hipervnculo"/>
          </w:rPr>
          <w:t>http://www.economist.com/news/china/21694208-omniscience-wonderful-thing-china-sets-itself-lofty-growth-target</w:t>
        </w:r>
      </w:hyperlink>
    </w:p>
    <w:p w:rsidR="004A11C5" w:rsidRDefault="004A11C5" w:rsidP="004A11C5">
      <w:r w:rsidRPr="004A11C5">
        <w:t>Central grows w</w:t>
      </w:r>
      <w:r>
        <w:t>ith the fall of the petroprices</w:t>
      </w:r>
    </w:p>
    <w:p w:rsidR="004A11C5" w:rsidRDefault="004A11C5" w:rsidP="004A11C5">
      <w:r>
        <w:t>The drop in commodity prices has hurt Brazil, Chile, Peru and Colombia wit</w:t>
      </w:r>
      <w:r>
        <w:t>hout affecting Central America.</w:t>
      </w:r>
    </w:p>
    <w:p w:rsidR="004A11C5" w:rsidRDefault="004A11C5" w:rsidP="004A11C5">
      <w:r>
        <w:t>The region runs counter to a trend of sluggish growth in the rest of Latin America as the cheapest oil prices reduce fuel bills and the highest growth in the United States increased remittances and tourism spending. The region will grow 4.2 percent this year, led by the expansion of 6.3 percent in Panama, according to forecasts from the International Monetary Fund. This compares with growth of 0.3 percent forecas</w:t>
      </w:r>
      <w:r>
        <w:t>t for Latin America as a whole.</w:t>
      </w:r>
    </w:p>
    <w:p w:rsidR="004A11C5" w:rsidRDefault="004A11C5" w:rsidP="004A11C5">
      <w:r>
        <w:t>The seven countries of Central America have the United States as its largest trading partner, while Brazil, Peru and Chile all make more business with China. The weak demand in the Asian giant helped bring down prices for oil, iron ore, copper and soybeans in South America. As a net importer of oil and most other commodities, Central America comes out clearly benefited from the lower prices of raw materials.</w:t>
      </w:r>
    </w:p>
    <w:p w:rsidR="004A11C5" w:rsidRDefault="004A11C5" w:rsidP="004A11C5">
      <w:r>
        <w:t xml:space="preserve">"Your destiny is really more tied to the United States to China," said Franco Uccelli, emerging markets analyst at JPMorgan Chase &amp; Co. said in a telephone interview. "They're not seeing some of the risks of oil exporter with an </w:t>
      </w:r>
      <w:r>
        <w:t>oil price as low as it is now."</w:t>
      </w:r>
    </w:p>
    <w:p w:rsidR="004A11C5" w:rsidRDefault="004A11C5" w:rsidP="004A11C5">
      <w:r>
        <w:t>Remittances to Guatemala by workers living in the United States and elsewhere grew 18 percent in January compared to the previous year. The country, which has the largest economy in Central America, remittances had received a record 6,000 300 billion last year, equivalent to 10 per</w:t>
      </w:r>
      <w:r>
        <w:t>cent of gross domestic product.</w:t>
      </w:r>
    </w:p>
    <w:p w:rsidR="004A11C5" w:rsidRDefault="004A11C5" w:rsidP="004A11C5">
      <w:r>
        <w:t>Further south, Costa Rica received in 2015 a record 2.7 million tourists who generated revenues of 2 billion 900 million dollars, according to the country's tourism agency.</w:t>
      </w:r>
    </w:p>
    <w:p w:rsidR="001A0564" w:rsidRDefault="004A11C5" w:rsidP="001A0564">
      <w:hyperlink r:id="rId6" w:history="1">
        <w:r w:rsidRPr="008442EA">
          <w:rPr>
            <w:rStyle w:val="Hipervnculo"/>
          </w:rPr>
          <w:t>http://www.elfinanciero.com.mx/economia/centroamerica-crece-con-la-caida-de-los-petroprecios.html</w:t>
        </w:r>
      </w:hyperlink>
    </w:p>
    <w:p w:rsidR="001A0564" w:rsidRPr="001A0564" w:rsidRDefault="001A0564" w:rsidP="001A0564">
      <w:pPr>
        <w:rPr>
          <w:b/>
          <w:bCs/>
        </w:rPr>
      </w:pPr>
      <w:r w:rsidRPr="001A0564">
        <w:rPr>
          <w:b/>
          <w:bCs/>
        </w:rPr>
        <w:t>DuPont says U.S. regulator needs additional time to review Dow merger</w:t>
      </w:r>
    </w:p>
    <w:p w:rsidR="001A0564" w:rsidRPr="001A0564" w:rsidRDefault="001A0564" w:rsidP="001A0564">
      <w:r w:rsidRPr="001A0564">
        <w:t>DuPont said on Wednesday that U.S. regulators need more time to review materials related to its merger with Dow Chemical, according to a filing.</w:t>
      </w:r>
    </w:p>
    <w:p w:rsidR="001A0564" w:rsidRPr="001A0564" w:rsidRDefault="001A0564" w:rsidP="001A0564">
      <w:r w:rsidRPr="001A0564">
        <w:t>DuPont said that the antitrust division of the U.S. Department of Justice notified both companies last week that it needs additional information and materials to assess the merger, a move that extends the review period.</w:t>
      </w:r>
    </w:p>
    <w:p w:rsidR="001A0564" w:rsidRPr="001A0564" w:rsidRDefault="001A0564" w:rsidP="001A0564">
      <w:r w:rsidRPr="001A0564">
        <w:t>The filing with the U.S. Securities and Exchange Commission said that the request would extend the waiting period another 30 days, but it was unclear from the filing what the end date of the review would be.</w:t>
      </w:r>
    </w:p>
    <w:p w:rsidR="001A0564" w:rsidRPr="001A0564" w:rsidRDefault="001A0564" w:rsidP="001A0564">
      <w:r w:rsidRPr="001A0564">
        <w:lastRenderedPageBreak/>
        <w:t>DuPont said that the request for additional information was expected by both companies and they will continue to work with the Department of Justice.</w:t>
      </w:r>
    </w:p>
    <w:p w:rsidR="001A0564" w:rsidRPr="001A0564" w:rsidRDefault="001A0564" w:rsidP="001A0564">
      <w:r w:rsidRPr="001A0564">
        <w:t>The two chemical companies agreed to combine in an all-stock merger in December, valued at $130 billion at the time, in a first step towards breaking up into three separate businesses.</w:t>
      </w:r>
    </w:p>
    <w:p w:rsidR="001A0564" w:rsidRDefault="001A0564" w:rsidP="001A0564">
      <w:hyperlink r:id="rId7" w:history="1">
        <w:r w:rsidRPr="008442EA">
          <w:rPr>
            <w:rStyle w:val="Hipervnculo"/>
          </w:rPr>
          <w:t>http://www.reuters.com/article/us-dow-du-pont-idUSKCN0W41S8</w:t>
        </w:r>
      </w:hyperlink>
    </w:p>
    <w:p w:rsidR="001A0564" w:rsidRPr="001A0564" w:rsidRDefault="001A0564" w:rsidP="001A0564">
      <w:bookmarkStart w:id="0" w:name="_GoBack"/>
      <w:bookmarkEnd w:id="0"/>
    </w:p>
    <w:p w:rsidR="004A11C5" w:rsidRDefault="004A11C5"/>
    <w:sectPr w:rsidR="004A11C5">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ED18B9"/>
    <w:multiLevelType w:val="multilevel"/>
    <w:tmpl w:val="5D54C9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87D1884"/>
    <w:multiLevelType w:val="multilevel"/>
    <w:tmpl w:val="56021B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2383B9F"/>
    <w:multiLevelType w:val="multilevel"/>
    <w:tmpl w:val="0270E1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11C5"/>
    <w:rsid w:val="001A0564"/>
    <w:rsid w:val="004A11C5"/>
    <w:rsid w:val="008F6C97"/>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8E94D5"/>
  <w15:chartTrackingRefBased/>
  <w15:docId w15:val="{AB379875-134B-48EC-9AA4-D43F84BEC2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4A11C5"/>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7597974">
      <w:bodyDiv w:val="1"/>
      <w:marLeft w:val="0"/>
      <w:marRight w:val="0"/>
      <w:marTop w:val="0"/>
      <w:marBottom w:val="0"/>
      <w:divBdr>
        <w:top w:val="none" w:sz="0" w:space="0" w:color="auto"/>
        <w:left w:val="none" w:sz="0" w:space="0" w:color="auto"/>
        <w:bottom w:val="none" w:sz="0" w:space="0" w:color="auto"/>
        <w:right w:val="none" w:sz="0" w:space="0" w:color="auto"/>
      </w:divBdr>
    </w:div>
    <w:div w:id="407576752">
      <w:bodyDiv w:val="1"/>
      <w:marLeft w:val="0"/>
      <w:marRight w:val="0"/>
      <w:marTop w:val="0"/>
      <w:marBottom w:val="0"/>
      <w:divBdr>
        <w:top w:val="none" w:sz="0" w:space="0" w:color="auto"/>
        <w:left w:val="none" w:sz="0" w:space="0" w:color="auto"/>
        <w:bottom w:val="none" w:sz="0" w:space="0" w:color="auto"/>
        <w:right w:val="none" w:sz="0" w:space="0" w:color="auto"/>
      </w:divBdr>
    </w:div>
    <w:div w:id="722753421">
      <w:bodyDiv w:val="1"/>
      <w:marLeft w:val="0"/>
      <w:marRight w:val="0"/>
      <w:marTop w:val="0"/>
      <w:marBottom w:val="0"/>
      <w:divBdr>
        <w:top w:val="none" w:sz="0" w:space="0" w:color="auto"/>
        <w:left w:val="none" w:sz="0" w:space="0" w:color="auto"/>
        <w:bottom w:val="none" w:sz="0" w:space="0" w:color="auto"/>
        <w:right w:val="none" w:sz="0" w:space="0" w:color="auto"/>
      </w:divBdr>
    </w:div>
    <w:div w:id="1336107008">
      <w:bodyDiv w:val="1"/>
      <w:marLeft w:val="0"/>
      <w:marRight w:val="0"/>
      <w:marTop w:val="0"/>
      <w:marBottom w:val="0"/>
      <w:divBdr>
        <w:top w:val="none" w:sz="0" w:space="0" w:color="auto"/>
        <w:left w:val="none" w:sz="0" w:space="0" w:color="auto"/>
        <w:bottom w:val="none" w:sz="0" w:space="0" w:color="auto"/>
        <w:right w:val="none" w:sz="0" w:space="0" w:color="auto"/>
      </w:divBdr>
      <w:divsChild>
        <w:div w:id="1921911357">
          <w:marLeft w:val="0"/>
          <w:marRight w:val="0"/>
          <w:marTop w:val="0"/>
          <w:marBottom w:val="0"/>
          <w:divBdr>
            <w:top w:val="none" w:sz="0" w:space="0" w:color="auto"/>
            <w:left w:val="none" w:sz="0" w:space="0" w:color="auto"/>
            <w:bottom w:val="none" w:sz="0" w:space="0" w:color="auto"/>
            <w:right w:val="none" w:sz="0" w:space="0" w:color="auto"/>
          </w:divBdr>
          <w:divsChild>
            <w:div w:id="893394956">
              <w:marLeft w:val="0"/>
              <w:marRight w:val="150"/>
              <w:marTop w:val="0"/>
              <w:marBottom w:val="0"/>
              <w:divBdr>
                <w:top w:val="none" w:sz="0" w:space="0" w:color="auto"/>
                <w:left w:val="none" w:sz="0" w:space="0" w:color="auto"/>
                <w:bottom w:val="none" w:sz="0" w:space="0" w:color="auto"/>
                <w:right w:val="none" w:sz="0" w:space="0" w:color="auto"/>
              </w:divBdr>
            </w:div>
            <w:div w:id="767585044">
              <w:marLeft w:val="0"/>
              <w:marRight w:val="150"/>
              <w:marTop w:val="0"/>
              <w:marBottom w:val="0"/>
              <w:divBdr>
                <w:top w:val="none" w:sz="0" w:space="0" w:color="auto"/>
                <w:left w:val="none" w:sz="0" w:space="0" w:color="auto"/>
                <w:bottom w:val="none" w:sz="0" w:space="0" w:color="auto"/>
                <w:right w:val="none" w:sz="0" w:space="0" w:color="auto"/>
              </w:divBdr>
            </w:div>
            <w:div w:id="170879511">
              <w:marLeft w:val="0"/>
              <w:marRight w:val="150"/>
              <w:marTop w:val="0"/>
              <w:marBottom w:val="0"/>
              <w:divBdr>
                <w:top w:val="none" w:sz="0" w:space="0" w:color="auto"/>
                <w:left w:val="none" w:sz="0" w:space="0" w:color="auto"/>
                <w:bottom w:val="none" w:sz="0" w:space="0" w:color="auto"/>
                <w:right w:val="none" w:sz="0" w:space="0" w:color="auto"/>
              </w:divBdr>
            </w:div>
            <w:div w:id="2018338212">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 w:id="1369404687">
      <w:bodyDiv w:val="1"/>
      <w:marLeft w:val="0"/>
      <w:marRight w:val="0"/>
      <w:marTop w:val="0"/>
      <w:marBottom w:val="0"/>
      <w:divBdr>
        <w:top w:val="none" w:sz="0" w:space="0" w:color="auto"/>
        <w:left w:val="none" w:sz="0" w:space="0" w:color="auto"/>
        <w:bottom w:val="none" w:sz="0" w:space="0" w:color="auto"/>
        <w:right w:val="none" w:sz="0" w:space="0" w:color="auto"/>
      </w:divBdr>
    </w:div>
    <w:div w:id="1541283065">
      <w:bodyDiv w:val="1"/>
      <w:marLeft w:val="0"/>
      <w:marRight w:val="0"/>
      <w:marTop w:val="0"/>
      <w:marBottom w:val="0"/>
      <w:divBdr>
        <w:top w:val="none" w:sz="0" w:space="0" w:color="auto"/>
        <w:left w:val="none" w:sz="0" w:space="0" w:color="auto"/>
        <w:bottom w:val="none" w:sz="0" w:space="0" w:color="auto"/>
        <w:right w:val="none" w:sz="0" w:space="0" w:color="auto"/>
      </w:divBdr>
      <w:divsChild>
        <w:div w:id="1552694784">
          <w:marLeft w:val="0"/>
          <w:marRight w:val="0"/>
          <w:marTop w:val="0"/>
          <w:marBottom w:val="0"/>
          <w:divBdr>
            <w:top w:val="single" w:sz="18" w:space="3" w:color="4A4A4A"/>
            <w:left w:val="none" w:sz="0" w:space="3" w:color="auto"/>
            <w:bottom w:val="single" w:sz="12" w:space="3" w:color="FFFFFF"/>
            <w:right w:val="none" w:sz="0" w:space="3" w:color="auto"/>
          </w:divBdr>
        </w:div>
        <w:div w:id="1419133815">
          <w:marLeft w:val="0"/>
          <w:marRight w:val="0"/>
          <w:marTop w:val="0"/>
          <w:marBottom w:val="450"/>
          <w:divBdr>
            <w:top w:val="none" w:sz="0" w:space="0" w:color="auto"/>
            <w:left w:val="none" w:sz="0" w:space="0" w:color="auto"/>
            <w:bottom w:val="none" w:sz="0" w:space="0" w:color="auto"/>
            <w:right w:val="none" w:sz="0" w:space="0" w:color="auto"/>
          </w:divBdr>
        </w:div>
        <w:div w:id="1094088240">
          <w:marLeft w:val="0"/>
          <w:marRight w:val="0"/>
          <w:marTop w:val="0"/>
          <w:marBottom w:val="0"/>
          <w:divBdr>
            <w:top w:val="single" w:sz="18" w:space="3" w:color="4A4A4A"/>
            <w:left w:val="none" w:sz="0" w:space="3" w:color="auto"/>
            <w:bottom w:val="single" w:sz="12" w:space="3" w:color="FFFFFF"/>
            <w:right w:val="none" w:sz="0" w:space="3" w:color="auto"/>
          </w:divBdr>
        </w:div>
      </w:divsChild>
    </w:div>
    <w:div w:id="1765298702">
      <w:bodyDiv w:val="1"/>
      <w:marLeft w:val="0"/>
      <w:marRight w:val="0"/>
      <w:marTop w:val="0"/>
      <w:marBottom w:val="0"/>
      <w:divBdr>
        <w:top w:val="none" w:sz="0" w:space="0" w:color="auto"/>
        <w:left w:val="none" w:sz="0" w:space="0" w:color="auto"/>
        <w:bottom w:val="none" w:sz="0" w:space="0" w:color="auto"/>
        <w:right w:val="none" w:sz="0" w:space="0" w:color="auto"/>
      </w:divBdr>
    </w:div>
    <w:div w:id="20904167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reuters.com/article/us-dow-du-pont-idUSKCN0W41S8"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elfinanciero.com.mx/economia/centroamerica-crece-con-la-caida-de-los-petroprecios.html" TargetMode="External"/><Relationship Id="rId5" Type="http://schemas.openxmlformats.org/officeDocument/2006/relationships/hyperlink" Target="http://www.economist.com/news/china/21694208-omniscience-wonderful-thing-china-sets-itself-lofty-growth-target"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80</TotalTime>
  <Pages>3</Pages>
  <Words>1146</Words>
  <Characters>6305</Characters>
  <Application>Microsoft Office Word</Application>
  <DocSecurity>0</DocSecurity>
  <Lines>52</Lines>
  <Paragraphs>14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7437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Adrián Maquieira Cambón</dc:creator>
  <cp:keywords/>
  <dc:description/>
  <cp:lastModifiedBy>Adrián Maquieira Cambón</cp:lastModifiedBy>
  <cp:revision>1</cp:revision>
  <dcterms:created xsi:type="dcterms:W3CDTF">2016-03-06T21:04:00Z</dcterms:created>
  <dcterms:modified xsi:type="dcterms:W3CDTF">2016-03-06T22:24:00Z</dcterms:modified>
</cp:coreProperties>
</file>