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6B" w:rsidRPr="006D30B0" w:rsidRDefault="00830E6B" w:rsidP="00830E6B">
      <w:pPr>
        <w:pStyle w:val="Nadpis4"/>
        <w:rPr>
          <w:sz w:val="24"/>
          <w:szCs w:val="24"/>
        </w:rPr>
      </w:pPr>
      <w:bookmarkStart w:id="0" w:name="_GoBack"/>
      <w:bookmarkEnd w:id="0"/>
      <w:r w:rsidRPr="006D30B0">
        <w:rPr>
          <w:sz w:val="24"/>
          <w:szCs w:val="24"/>
        </w:rPr>
        <w:t>I. Já, subjekt a sebevědomí</w:t>
      </w:r>
    </w:p>
    <w:p w:rsidR="00830E6B" w:rsidRDefault="00830E6B" w:rsidP="00830E6B">
      <w:pPr>
        <w:pStyle w:val="Nadpis4"/>
        <w:rPr>
          <w:b w:val="0"/>
          <w:sz w:val="24"/>
          <w:szCs w:val="24"/>
        </w:rPr>
      </w:pPr>
    </w:p>
    <w:p w:rsidR="00830E6B" w:rsidRPr="004D0621" w:rsidRDefault="00830E6B" w:rsidP="00830E6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 1: </w:t>
      </w:r>
      <w:r>
        <w:rPr>
          <w:sz w:val="24"/>
          <w:szCs w:val="24"/>
        </w:rPr>
        <w:t>„Záhady</w:t>
      </w:r>
      <w:r w:rsidRPr="006D7565">
        <w:rPr>
          <w:sz w:val="24"/>
          <w:szCs w:val="24"/>
        </w:rPr>
        <w:t>, které mám na mysli</w:t>
      </w:r>
      <w:r>
        <w:rPr>
          <w:sz w:val="24"/>
          <w:szCs w:val="24"/>
        </w:rPr>
        <w:t xml:space="preserve">, se všechny točí kolem toho, co nazvu ‚systematickou </w:t>
      </w:r>
      <w:proofErr w:type="spellStart"/>
      <w:r>
        <w:rPr>
          <w:sz w:val="24"/>
          <w:szCs w:val="24"/>
        </w:rPr>
        <w:t>nepolapitelností</w:t>
      </w:r>
      <w:r w:rsidRPr="00B55D58">
        <w:rPr>
          <w:sz w:val="24"/>
          <w:szCs w:val="24"/>
        </w:rPr>
        <w:t>ʻ</w:t>
      </w:r>
      <w:proofErr w:type="spellEnd"/>
      <w:r>
        <w:rPr>
          <w:sz w:val="24"/>
          <w:szCs w:val="24"/>
        </w:rPr>
        <w:t xml:space="preserve"> </w:t>
      </w:r>
      <w:r w:rsidRPr="004D0621">
        <w:rPr>
          <w:sz w:val="24"/>
          <w:szCs w:val="24"/>
        </w:rPr>
        <w:t>(</w:t>
      </w:r>
      <w:proofErr w:type="spellStart"/>
      <w:r w:rsidRPr="004D0621">
        <w:rPr>
          <w:sz w:val="24"/>
          <w:szCs w:val="24"/>
        </w:rPr>
        <w:t>systematic</w:t>
      </w:r>
      <w:proofErr w:type="spellEnd"/>
      <w:r w:rsidRPr="004D0621">
        <w:rPr>
          <w:sz w:val="24"/>
          <w:szCs w:val="24"/>
        </w:rPr>
        <w:t xml:space="preserve"> </w:t>
      </w:r>
      <w:proofErr w:type="spellStart"/>
      <w:r w:rsidRPr="004D0621">
        <w:rPr>
          <w:sz w:val="24"/>
          <w:szCs w:val="24"/>
        </w:rPr>
        <w:t>elusivness</w:t>
      </w:r>
      <w:proofErr w:type="spellEnd"/>
      <w:r w:rsidRPr="004D062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pojmu </w:t>
      </w:r>
      <w:r w:rsidRPr="00F52CE3">
        <w:rPr>
          <w:sz w:val="24"/>
          <w:szCs w:val="24"/>
        </w:rPr>
        <w:t>‚</w:t>
      </w:r>
      <w:proofErr w:type="spellStart"/>
      <w:r w:rsidRPr="00F52CE3">
        <w:rPr>
          <w:sz w:val="24"/>
          <w:szCs w:val="24"/>
        </w:rPr>
        <w:t>jáʻ</w:t>
      </w:r>
      <w:proofErr w:type="spellEnd"/>
      <w:r>
        <w:rPr>
          <w:sz w:val="24"/>
          <w:szCs w:val="24"/>
        </w:rPr>
        <w:t xml:space="preserve">. Jestliže se dítě, jako třeba Kim, které nemá žádné teoretické předpoklady ani teoretickou výbavu, poprvé zeptá samo sebe ‚Kdo nebo co jsem </w:t>
      </w:r>
      <w:proofErr w:type="spellStart"/>
      <w:r>
        <w:rPr>
          <w:sz w:val="24"/>
          <w:szCs w:val="24"/>
        </w:rPr>
        <w:t>já?</w:t>
      </w:r>
      <w:r w:rsidRPr="00B55D58">
        <w:rPr>
          <w:sz w:val="24"/>
          <w:szCs w:val="24"/>
        </w:rPr>
        <w:t>ʻ</w:t>
      </w:r>
      <w:proofErr w:type="spellEnd"/>
      <w:r>
        <w:rPr>
          <w:sz w:val="24"/>
          <w:szCs w:val="24"/>
        </w:rPr>
        <w:t xml:space="preserve">, neptá se z potřeby znát své vlastní příjmení, věk, pohlaví, národnost nebo postavení ve třídě. Takové dítě zná všechny své obvyklé osobní charakteristiky. Cítí, že je něco jiného v pozadí, co označuje jeho </w:t>
      </w:r>
      <w:r w:rsidRPr="00F52CE3">
        <w:rPr>
          <w:sz w:val="24"/>
          <w:szCs w:val="24"/>
        </w:rPr>
        <w:t>‚</w:t>
      </w:r>
      <w:proofErr w:type="spellStart"/>
      <w:r w:rsidRPr="00F52CE3">
        <w:rPr>
          <w:sz w:val="24"/>
          <w:szCs w:val="24"/>
        </w:rPr>
        <w:t>jáʻ</w:t>
      </w:r>
      <w:proofErr w:type="spellEnd"/>
      <w:r>
        <w:rPr>
          <w:sz w:val="24"/>
          <w:szCs w:val="24"/>
        </w:rPr>
        <w:t xml:space="preserve">, něco, co stále zbývá popsat poté, co byly vypočteny všechny jeho obvyklé osobní charakteristiky. Cítí také, … že ať už je to, co označuje jeho </w:t>
      </w:r>
      <w:r w:rsidRPr="00F52CE3">
        <w:rPr>
          <w:sz w:val="24"/>
          <w:szCs w:val="24"/>
        </w:rPr>
        <w:t>‚</w:t>
      </w:r>
      <w:proofErr w:type="spellStart"/>
      <w:r w:rsidRPr="00F52CE3">
        <w:rPr>
          <w:sz w:val="24"/>
          <w:szCs w:val="24"/>
        </w:rPr>
        <w:t>jáʻ</w:t>
      </w:r>
      <w:proofErr w:type="spellEnd"/>
      <w:r>
        <w:rPr>
          <w:sz w:val="24"/>
          <w:szCs w:val="24"/>
        </w:rPr>
        <w:t>, cokoli, je to něco velmi důležitého a zcela jedinečného … Zdá se, že zájmena jako ‚</w:t>
      </w:r>
      <w:proofErr w:type="spellStart"/>
      <w:r>
        <w:rPr>
          <w:sz w:val="24"/>
          <w:szCs w:val="24"/>
        </w:rPr>
        <w:t>ty</w:t>
      </w:r>
      <w:r w:rsidRPr="00F52CE3">
        <w:rPr>
          <w:sz w:val="24"/>
          <w:szCs w:val="24"/>
        </w:rPr>
        <w:t>ʻ</w:t>
      </w:r>
      <w:proofErr w:type="spellEnd"/>
      <w:r>
        <w:rPr>
          <w:sz w:val="24"/>
          <w:szCs w:val="24"/>
        </w:rPr>
        <w:t>, ‚</w:t>
      </w:r>
      <w:proofErr w:type="spellStart"/>
      <w:r>
        <w:rPr>
          <w:sz w:val="24"/>
          <w:szCs w:val="24"/>
        </w:rPr>
        <w:t>ona</w:t>
      </w:r>
      <w:r w:rsidRPr="00F52CE3">
        <w:rPr>
          <w:sz w:val="24"/>
          <w:szCs w:val="24"/>
        </w:rPr>
        <w:t>ʻ</w:t>
      </w:r>
      <w:proofErr w:type="spellEnd"/>
      <w:r>
        <w:rPr>
          <w:sz w:val="24"/>
          <w:szCs w:val="24"/>
        </w:rPr>
        <w:t xml:space="preserve"> a ‚</w:t>
      </w:r>
      <w:proofErr w:type="spellStart"/>
      <w:r>
        <w:rPr>
          <w:sz w:val="24"/>
          <w:szCs w:val="24"/>
        </w:rPr>
        <w:t>my</w:t>
      </w:r>
      <w:r w:rsidRPr="00F52CE3">
        <w:rPr>
          <w:sz w:val="24"/>
          <w:szCs w:val="24"/>
        </w:rPr>
        <w:t>ʻ</w:t>
      </w:r>
      <w:proofErr w:type="spellEnd"/>
      <w:r>
        <w:rPr>
          <w:sz w:val="24"/>
          <w:szCs w:val="24"/>
        </w:rPr>
        <w:t xml:space="preserve"> nejsou nijak tajemná, zatímco zájmeno </w:t>
      </w:r>
      <w:r w:rsidRPr="00A20824">
        <w:rPr>
          <w:sz w:val="24"/>
          <w:szCs w:val="24"/>
        </w:rPr>
        <w:t>‚</w:t>
      </w:r>
      <w:proofErr w:type="spellStart"/>
      <w:r w:rsidRPr="00A20824">
        <w:rPr>
          <w:sz w:val="24"/>
          <w:szCs w:val="24"/>
        </w:rPr>
        <w:t>jáʻ</w:t>
      </w:r>
      <w:proofErr w:type="spellEnd"/>
      <w:r>
        <w:rPr>
          <w:sz w:val="24"/>
          <w:szCs w:val="24"/>
        </w:rPr>
        <w:t xml:space="preserve"> se jeví jako tajemné. A jeví se jako tajemné … proto, že čím více se dítě snaží najít to, co označuje </w:t>
      </w:r>
      <w:r w:rsidRPr="00A20824">
        <w:rPr>
          <w:sz w:val="24"/>
          <w:szCs w:val="24"/>
        </w:rPr>
        <w:t>‚</w:t>
      </w:r>
      <w:proofErr w:type="spellStart"/>
      <w:r w:rsidRPr="00A20824">
        <w:rPr>
          <w:sz w:val="24"/>
          <w:szCs w:val="24"/>
        </w:rPr>
        <w:t>jáʻ</w:t>
      </w:r>
      <w:proofErr w:type="spellEnd"/>
      <w:r>
        <w:rPr>
          <w:sz w:val="24"/>
          <w:szCs w:val="24"/>
        </w:rPr>
        <w:t xml:space="preserve">, tím méně se mu to daří … Je jako stín, který vrhá vlastní hlava, neposečká, když na něj chceme skočit … Je příliš blízko na to, aby pro nás bylo dosažitelné.“ </w:t>
      </w:r>
      <w:r w:rsidRPr="004D0621">
        <w:rPr>
          <w:sz w:val="24"/>
          <w:szCs w:val="24"/>
        </w:rPr>
        <w:t xml:space="preserve">(G. </w:t>
      </w:r>
      <w:proofErr w:type="spellStart"/>
      <w:r w:rsidRPr="004D0621">
        <w:rPr>
          <w:sz w:val="24"/>
          <w:szCs w:val="24"/>
        </w:rPr>
        <w:t>Ryle</w:t>
      </w:r>
      <w:proofErr w:type="spellEnd"/>
      <w:r w:rsidRPr="004D0621">
        <w:rPr>
          <w:sz w:val="24"/>
          <w:szCs w:val="24"/>
        </w:rPr>
        <w:t xml:space="preserve">, </w:t>
      </w:r>
      <w:proofErr w:type="spellStart"/>
      <w:r w:rsidRPr="004D0621">
        <w:rPr>
          <w:i/>
          <w:sz w:val="24"/>
          <w:szCs w:val="24"/>
        </w:rPr>
        <w:t>The</w:t>
      </w:r>
      <w:proofErr w:type="spellEnd"/>
      <w:r w:rsidRPr="004D0621">
        <w:rPr>
          <w:i/>
          <w:sz w:val="24"/>
          <w:szCs w:val="24"/>
        </w:rPr>
        <w:t xml:space="preserve"> </w:t>
      </w:r>
      <w:proofErr w:type="spellStart"/>
      <w:r w:rsidRPr="004D0621">
        <w:rPr>
          <w:i/>
          <w:sz w:val="24"/>
          <w:szCs w:val="24"/>
        </w:rPr>
        <w:t>Concept</w:t>
      </w:r>
      <w:proofErr w:type="spellEnd"/>
      <w:r w:rsidRPr="004D0621">
        <w:rPr>
          <w:i/>
          <w:sz w:val="24"/>
          <w:szCs w:val="24"/>
        </w:rPr>
        <w:t xml:space="preserve"> </w:t>
      </w:r>
      <w:proofErr w:type="spellStart"/>
      <w:r w:rsidRPr="004D0621">
        <w:rPr>
          <w:i/>
          <w:sz w:val="24"/>
          <w:szCs w:val="24"/>
        </w:rPr>
        <w:t>of</w:t>
      </w:r>
      <w:proofErr w:type="spellEnd"/>
      <w:r w:rsidRPr="004D0621">
        <w:rPr>
          <w:i/>
          <w:sz w:val="24"/>
          <w:szCs w:val="24"/>
        </w:rPr>
        <w:t xml:space="preserve"> Mind</w:t>
      </w:r>
      <w:r w:rsidRPr="004D062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Chicago 2000, </w:t>
      </w:r>
      <w:r w:rsidRPr="004D0621">
        <w:rPr>
          <w:sz w:val="24"/>
          <w:szCs w:val="24"/>
        </w:rPr>
        <w:t>str. 186.)</w:t>
      </w:r>
    </w:p>
    <w:p w:rsidR="00830E6B" w:rsidRDefault="00830E6B" w:rsidP="00830E6B">
      <w:pPr>
        <w:jc w:val="both"/>
        <w:rPr>
          <w:b/>
          <w:sz w:val="24"/>
          <w:szCs w:val="24"/>
        </w:rPr>
      </w:pPr>
    </w:p>
    <w:p w:rsidR="00830E6B" w:rsidRDefault="00830E6B" w:rsidP="00830E6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 2: </w:t>
      </w:r>
      <w:r w:rsidRPr="00E70197">
        <w:rPr>
          <w:sz w:val="24"/>
          <w:szCs w:val="24"/>
        </w:rPr>
        <w:t>„</w:t>
      </w:r>
      <w:r>
        <w:rPr>
          <w:sz w:val="24"/>
          <w:szCs w:val="24"/>
        </w:rPr>
        <w:t xml:space="preserve">… výraz </w:t>
      </w:r>
      <w:r w:rsidRPr="00E70197">
        <w:rPr>
          <w:sz w:val="24"/>
          <w:szCs w:val="24"/>
        </w:rPr>
        <w:t>‚</w:t>
      </w:r>
      <w:proofErr w:type="spellStart"/>
      <w:r w:rsidRPr="00E70197">
        <w:rPr>
          <w:sz w:val="24"/>
          <w:szCs w:val="24"/>
        </w:rPr>
        <w:t>jáʻ</w:t>
      </w:r>
      <w:proofErr w:type="spellEnd"/>
      <w:r>
        <w:rPr>
          <w:sz w:val="24"/>
          <w:szCs w:val="24"/>
        </w:rPr>
        <w:t xml:space="preserve"> trpí podivnou dvojznačností … Na jedné straně je </w:t>
      </w:r>
      <w:r w:rsidRPr="00E70197">
        <w:rPr>
          <w:sz w:val="24"/>
          <w:szCs w:val="24"/>
        </w:rPr>
        <w:t>‚</w:t>
      </w:r>
      <w:proofErr w:type="spellStart"/>
      <w:r w:rsidRPr="00E70197">
        <w:rPr>
          <w:sz w:val="24"/>
          <w:szCs w:val="24"/>
        </w:rPr>
        <w:t>jáʻ</w:t>
      </w:r>
      <w:proofErr w:type="spellEnd"/>
      <w:r>
        <w:rPr>
          <w:sz w:val="24"/>
          <w:szCs w:val="24"/>
        </w:rPr>
        <w:t xml:space="preserve">, jakožto osobní zájmeno spadající do systému jazyka, součástí paradigmatu osobních zájmen. V tomto smyslu je to prázdný výraz, který … označuje při každém novém užití pokaždé jinou osobu; </w:t>
      </w:r>
      <w:r w:rsidRPr="00E70197">
        <w:rPr>
          <w:sz w:val="24"/>
          <w:szCs w:val="24"/>
        </w:rPr>
        <w:t>‚</w:t>
      </w:r>
      <w:proofErr w:type="spellStart"/>
      <w:r w:rsidRPr="00E70197">
        <w:rPr>
          <w:sz w:val="24"/>
          <w:szCs w:val="24"/>
        </w:rPr>
        <w:t>jáʻ</w:t>
      </w:r>
      <w:proofErr w:type="spellEnd"/>
      <w:r>
        <w:rPr>
          <w:sz w:val="24"/>
          <w:szCs w:val="24"/>
        </w:rPr>
        <w:t xml:space="preserve"> se v tomto prvním smyslu vztahuje na kohokoli, kdo mluví, a tím vyznačuje sebe sama … Jakožto prázdný výraz je </w:t>
      </w:r>
      <w:r w:rsidRPr="00E70197">
        <w:rPr>
          <w:sz w:val="24"/>
          <w:szCs w:val="24"/>
        </w:rPr>
        <w:t>‚</w:t>
      </w:r>
      <w:proofErr w:type="spellStart"/>
      <w:r w:rsidRPr="00E70197">
        <w:rPr>
          <w:sz w:val="24"/>
          <w:szCs w:val="24"/>
        </w:rPr>
        <w:t>jáʻ</w:t>
      </w:r>
      <w:proofErr w:type="spellEnd"/>
      <w:r>
        <w:rPr>
          <w:sz w:val="24"/>
          <w:szCs w:val="24"/>
        </w:rPr>
        <w:t xml:space="preserve"> putující označení, což je postavení, vůči němuž jsou navzájem zaměnitelní různí virtuální mluvčí. Odtud pochází výraz </w:t>
      </w:r>
      <w:proofErr w:type="spellStart"/>
      <w:r w:rsidRPr="00E70197">
        <w:rPr>
          <w:i/>
          <w:sz w:val="24"/>
          <w:szCs w:val="24"/>
        </w:rPr>
        <w:t>shifter</w:t>
      </w:r>
      <w:proofErr w:type="spellEnd"/>
      <w:r>
        <w:rPr>
          <w:sz w:val="24"/>
          <w:szCs w:val="24"/>
        </w:rPr>
        <w:t xml:space="preserve"> … Zároveň jsme však přešli od jednoho smyslu výrazu </w:t>
      </w:r>
      <w:r w:rsidRPr="00375566">
        <w:rPr>
          <w:sz w:val="24"/>
          <w:szCs w:val="24"/>
        </w:rPr>
        <w:t>‚</w:t>
      </w:r>
      <w:proofErr w:type="spellStart"/>
      <w:r w:rsidRPr="00375566">
        <w:rPr>
          <w:sz w:val="24"/>
          <w:szCs w:val="24"/>
        </w:rPr>
        <w:t>jáʻ</w:t>
      </w:r>
      <w:proofErr w:type="spellEnd"/>
      <w:r>
        <w:rPr>
          <w:sz w:val="24"/>
          <w:szCs w:val="24"/>
        </w:rPr>
        <w:t xml:space="preserve"> k druhému. Už neklademe důraz na </w:t>
      </w:r>
      <w:r>
        <w:rPr>
          <w:i/>
          <w:sz w:val="24"/>
          <w:szCs w:val="24"/>
        </w:rPr>
        <w:t xml:space="preserve">nahraditelný </w:t>
      </w:r>
      <w:r>
        <w:rPr>
          <w:sz w:val="24"/>
          <w:szCs w:val="24"/>
        </w:rPr>
        <w:t xml:space="preserve">aspekt putujícího označení </w:t>
      </w:r>
      <w:proofErr w:type="spellStart"/>
      <w:r>
        <w:rPr>
          <w:i/>
          <w:sz w:val="24"/>
          <w:szCs w:val="24"/>
        </w:rPr>
        <w:t>shifter</w:t>
      </w:r>
      <w:proofErr w:type="spellEnd"/>
      <w:r>
        <w:rPr>
          <w:sz w:val="24"/>
          <w:szCs w:val="24"/>
        </w:rPr>
        <w:t xml:space="preserve">, ale naopak na </w:t>
      </w:r>
      <w:r w:rsidRPr="00375566">
        <w:rPr>
          <w:i/>
          <w:sz w:val="24"/>
          <w:szCs w:val="24"/>
        </w:rPr>
        <w:t>fixaci</w:t>
      </w:r>
      <w:r>
        <w:rPr>
          <w:sz w:val="24"/>
          <w:szCs w:val="24"/>
        </w:rPr>
        <w:t xml:space="preserve">, která je ve hře, když si někdo vezme slovo … </w:t>
      </w:r>
      <w:r w:rsidRPr="00375566">
        <w:rPr>
          <w:sz w:val="24"/>
          <w:szCs w:val="24"/>
        </w:rPr>
        <w:t>‚</w:t>
      </w:r>
      <w:proofErr w:type="spellStart"/>
      <w:r w:rsidRPr="00375566">
        <w:rPr>
          <w:sz w:val="24"/>
          <w:szCs w:val="24"/>
        </w:rPr>
        <w:t>jáʻ</w:t>
      </w:r>
      <w:proofErr w:type="spellEnd"/>
      <w:r>
        <w:rPr>
          <w:sz w:val="24"/>
          <w:szCs w:val="24"/>
        </w:rPr>
        <w:t xml:space="preserve"> znamená pokaždé jen jednu osobu s vyloučením každé jiné, tu, která mluví zde a nyní. Tento odkaz k nenahraditelnému postavení, k jedinečnému středu světové perspektivy můžeme nazvat … </w:t>
      </w:r>
      <w:r>
        <w:rPr>
          <w:i/>
          <w:sz w:val="24"/>
          <w:szCs w:val="24"/>
        </w:rPr>
        <w:t>ukotvení</w:t>
      </w:r>
      <w:r>
        <w:rPr>
          <w:sz w:val="24"/>
          <w:szCs w:val="24"/>
        </w:rPr>
        <w:t xml:space="preserve">. Paradox spočívá právě ve zjevném protikladu mezi nahraditelností </w:t>
      </w:r>
      <w:proofErr w:type="spellStart"/>
      <w:r>
        <w:rPr>
          <w:i/>
          <w:sz w:val="24"/>
          <w:szCs w:val="24"/>
        </w:rPr>
        <w:t>shifteru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 nenahraditelností fenoménu ukotvení.“   (</w:t>
      </w:r>
      <w:r w:rsidRPr="00E70197">
        <w:rPr>
          <w:sz w:val="24"/>
          <w:szCs w:val="24"/>
        </w:rPr>
        <w:t xml:space="preserve">P. </w:t>
      </w:r>
      <w:proofErr w:type="spellStart"/>
      <w:r w:rsidRPr="00E70197">
        <w:rPr>
          <w:sz w:val="24"/>
          <w:szCs w:val="24"/>
        </w:rPr>
        <w:t>Ricoeur</w:t>
      </w:r>
      <w:proofErr w:type="spellEnd"/>
      <w:r w:rsidRPr="00E70197">
        <w:rPr>
          <w:sz w:val="24"/>
          <w:szCs w:val="24"/>
        </w:rPr>
        <w:t xml:space="preserve">, </w:t>
      </w:r>
      <w:r w:rsidRPr="00E70197">
        <w:rPr>
          <w:i/>
          <w:sz w:val="24"/>
          <w:szCs w:val="24"/>
        </w:rPr>
        <w:t>O sobě samém jako o jiném</w:t>
      </w:r>
      <w:r w:rsidRPr="00E70197">
        <w:rPr>
          <w:sz w:val="24"/>
          <w:szCs w:val="24"/>
        </w:rPr>
        <w:t>, Praha 2016, str. 60.</w:t>
      </w:r>
      <w:r>
        <w:rPr>
          <w:sz w:val="24"/>
          <w:szCs w:val="24"/>
        </w:rPr>
        <w:t xml:space="preserve">)   </w:t>
      </w:r>
    </w:p>
    <w:p w:rsidR="00830E6B" w:rsidRDefault="00830E6B" w:rsidP="00830E6B">
      <w:pPr>
        <w:jc w:val="both"/>
        <w:rPr>
          <w:sz w:val="24"/>
          <w:szCs w:val="24"/>
        </w:rPr>
      </w:pPr>
    </w:p>
    <w:p w:rsidR="00830E6B" w:rsidRDefault="00830E6B" w:rsidP="00830E6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 3: </w:t>
      </w:r>
      <w:r w:rsidRPr="004F1292">
        <w:rPr>
          <w:sz w:val="24"/>
          <w:szCs w:val="24"/>
        </w:rPr>
        <w:t xml:space="preserve">„Když jsem upřímně řekl, že jenom já </w:t>
      </w:r>
      <w:r w:rsidRPr="004F1292">
        <w:rPr>
          <w:i/>
          <w:sz w:val="24"/>
          <w:szCs w:val="24"/>
        </w:rPr>
        <w:t>vidím</w:t>
      </w:r>
      <w:r w:rsidRPr="004F1292">
        <w:rPr>
          <w:sz w:val="24"/>
          <w:szCs w:val="24"/>
        </w:rPr>
        <w:t>, měl jsem také sklon říci, že oním ‚</w:t>
      </w:r>
      <w:proofErr w:type="spellStart"/>
      <w:r w:rsidRPr="004F1292">
        <w:rPr>
          <w:sz w:val="24"/>
          <w:szCs w:val="24"/>
        </w:rPr>
        <w:t>jáʻ</w:t>
      </w:r>
      <w:proofErr w:type="spellEnd"/>
      <w:r w:rsidRPr="004F1292">
        <w:rPr>
          <w:sz w:val="24"/>
          <w:szCs w:val="24"/>
        </w:rPr>
        <w:t xml:space="preserve"> jsem ve skutečnosti nemínil </w:t>
      </w:r>
      <w:r w:rsidRPr="004F1292">
        <w:rPr>
          <w:i/>
          <w:sz w:val="24"/>
          <w:szCs w:val="24"/>
        </w:rPr>
        <w:t>L. W.</w:t>
      </w:r>
      <w:r w:rsidRPr="004F1292">
        <w:rPr>
          <w:sz w:val="24"/>
          <w:szCs w:val="24"/>
        </w:rPr>
        <w:t xml:space="preserve">, byť jsem pro pohodlí svých bližních mohl říci ‚Nyní je to L. W., kdo skutečně </w:t>
      </w:r>
      <w:proofErr w:type="spellStart"/>
      <w:r w:rsidRPr="004F1292">
        <w:rPr>
          <w:sz w:val="24"/>
          <w:szCs w:val="24"/>
        </w:rPr>
        <w:t>vidíʻ</w:t>
      </w:r>
      <w:proofErr w:type="spellEnd"/>
      <w:r w:rsidRPr="004F1292">
        <w:rPr>
          <w:sz w:val="24"/>
          <w:szCs w:val="24"/>
        </w:rPr>
        <w:t>, ačkoli to nebylo to, co jsem skutečně mínil.“</w:t>
      </w:r>
      <w:r>
        <w:rPr>
          <w:sz w:val="24"/>
          <w:szCs w:val="24"/>
        </w:rPr>
        <w:t xml:space="preserve"> (</w:t>
      </w:r>
      <w:r w:rsidRPr="004F1292">
        <w:rPr>
          <w:sz w:val="24"/>
          <w:szCs w:val="24"/>
        </w:rPr>
        <w:t xml:space="preserve">L. </w:t>
      </w:r>
      <w:proofErr w:type="spellStart"/>
      <w:r w:rsidRPr="004F1292">
        <w:rPr>
          <w:sz w:val="24"/>
          <w:szCs w:val="24"/>
        </w:rPr>
        <w:t>Wittgenstein</w:t>
      </w:r>
      <w:proofErr w:type="spellEnd"/>
      <w:r w:rsidRPr="004F1292">
        <w:rPr>
          <w:sz w:val="24"/>
          <w:szCs w:val="24"/>
        </w:rPr>
        <w:t xml:space="preserve">, </w:t>
      </w:r>
      <w:r w:rsidRPr="004F1292">
        <w:rPr>
          <w:i/>
          <w:sz w:val="24"/>
          <w:szCs w:val="24"/>
        </w:rPr>
        <w:t>Modrá a hnědá kniha</w:t>
      </w:r>
      <w:r w:rsidRPr="004F1292">
        <w:rPr>
          <w:sz w:val="24"/>
          <w:szCs w:val="24"/>
        </w:rPr>
        <w:t>, Praha 2006, str. 92.</w:t>
      </w:r>
      <w:r>
        <w:rPr>
          <w:sz w:val="24"/>
          <w:szCs w:val="24"/>
        </w:rPr>
        <w:t>)</w:t>
      </w:r>
    </w:p>
    <w:p w:rsidR="00830E6B" w:rsidRDefault="00830E6B" w:rsidP="00830E6B">
      <w:pPr>
        <w:jc w:val="both"/>
        <w:rPr>
          <w:b/>
          <w:sz w:val="24"/>
          <w:szCs w:val="24"/>
        </w:rPr>
      </w:pPr>
    </w:p>
    <w:p w:rsidR="00830E6B" w:rsidRDefault="00830E6B" w:rsidP="00830E6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 4: </w:t>
      </w:r>
      <w:r w:rsidRPr="004F1292">
        <w:rPr>
          <w:sz w:val="24"/>
          <w:szCs w:val="24"/>
        </w:rPr>
        <w:t xml:space="preserve">„Subjekt nepatří ke světu, nýbrž je hranicí světa … Existuje tedy skutečně smysl, v němž ve filosofii může </w:t>
      </w:r>
      <w:proofErr w:type="spellStart"/>
      <w:r w:rsidRPr="004F1292">
        <w:rPr>
          <w:sz w:val="24"/>
          <w:szCs w:val="24"/>
        </w:rPr>
        <w:t>nepsychologicky</w:t>
      </w:r>
      <w:proofErr w:type="spellEnd"/>
      <w:r w:rsidRPr="004F1292">
        <w:rPr>
          <w:sz w:val="24"/>
          <w:szCs w:val="24"/>
        </w:rPr>
        <w:t xml:space="preserve"> být řeč o Já. Já vstupuje do filosofie tím, že ‚svět je můj </w:t>
      </w:r>
      <w:proofErr w:type="spellStart"/>
      <w:r w:rsidRPr="004F1292">
        <w:rPr>
          <w:sz w:val="24"/>
          <w:szCs w:val="24"/>
        </w:rPr>
        <w:t>světʻ</w:t>
      </w:r>
      <w:proofErr w:type="spellEnd"/>
      <w:r w:rsidRPr="004F1292">
        <w:rPr>
          <w:sz w:val="24"/>
          <w:szCs w:val="24"/>
        </w:rPr>
        <w:t>. Filosofické já není člověk, lidské tělo nebo lidská duše, o níž pojednává psychologie, nýbrž metafyzický subjekt, hranice – nikoli část světa.“</w:t>
      </w:r>
      <w:r>
        <w:rPr>
          <w:sz w:val="24"/>
          <w:szCs w:val="24"/>
        </w:rPr>
        <w:t xml:space="preserve"> (</w:t>
      </w:r>
      <w:r w:rsidRPr="004F1292">
        <w:rPr>
          <w:sz w:val="24"/>
          <w:szCs w:val="24"/>
        </w:rPr>
        <w:t xml:space="preserve">L. </w:t>
      </w:r>
      <w:proofErr w:type="spellStart"/>
      <w:r w:rsidRPr="004F1292">
        <w:rPr>
          <w:sz w:val="24"/>
          <w:szCs w:val="24"/>
        </w:rPr>
        <w:t>Wittgenstein</w:t>
      </w:r>
      <w:proofErr w:type="spellEnd"/>
      <w:r w:rsidRPr="004F1292"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Tractatus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</w:t>
      </w:r>
      <w:r w:rsidRPr="004F1292">
        <w:rPr>
          <w:i/>
          <w:sz w:val="24"/>
          <w:szCs w:val="24"/>
        </w:rPr>
        <w:t>ogico-philosophicus</w:t>
      </w:r>
      <w:proofErr w:type="spellEnd"/>
      <w:r w:rsidRPr="004F1292">
        <w:rPr>
          <w:i/>
          <w:sz w:val="24"/>
          <w:szCs w:val="24"/>
        </w:rPr>
        <w:t xml:space="preserve"> </w:t>
      </w:r>
      <w:r w:rsidRPr="004F1292">
        <w:rPr>
          <w:sz w:val="24"/>
          <w:szCs w:val="24"/>
        </w:rPr>
        <w:t>5.632 a 5.641, Praha 1993, str. 130–133.</w:t>
      </w:r>
      <w:r>
        <w:rPr>
          <w:sz w:val="24"/>
          <w:szCs w:val="24"/>
        </w:rPr>
        <w:t>)</w:t>
      </w:r>
    </w:p>
    <w:p w:rsidR="00830E6B" w:rsidRDefault="00830E6B" w:rsidP="00830E6B">
      <w:pPr>
        <w:jc w:val="both"/>
        <w:rPr>
          <w:sz w:val="24"/>
          <w:szCs w:val="24"/>
        </w:rPr>
      </w:pPr>
    </w:p>
    <w:p w:rsidR="00830E6B" w:rsidRPr="003921AC" w:rsidRDefault="00830E6B" w:rsidP="00830E6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 5: </w:t>
      </w:r>
      <w:r>
        <w:rPr>
          <w:sz w:val="24"/>
          <w:szCs w:val="24"/>
        </w:rPr>
        <w:t>„</w:t>
      </w:r>
      <w:r w:rsidRPr="003921AC">
        <w:rPr>
          <w:sz w:val="24"/>
          <w:szCs w:val="24"/>
        </w:rPr>
        <w:t xml:space="preserve">Podle toho, jak bylo pojetí subjektu ustaveno a nadále prohlubováno v klasické německé pokantovské filosofii a jak proniklo také do českého jazykového úzu, je subjekt ex </w:t>
      </w:r>
      <w:proofErr w:type="spellStart"/>
      <w:r w:rsidRPr="003921AC">
        <w:rPr>
          <w:sz w:val="24"/>
          <w:szCs w:val="24"/>
        </w:rPr>
        <w:t>definitione</w:t>
      </w:r>
      <w:proofErr w:type="spellEnd"/>
      <w:r w:rsidRPr="003921AC">
        <w:rPr>
          <w:sz w:val="24"/>
          <w:szCs w:val="24"/>
        </w:rPr>
        <w:t xml:space="preserve"> non-objekt čili ne-předmět. Každý pokus chápat subjekt jako zvláštního druhu objekt či předmět je mystifikací, zatímco každý pokus se tohoto problému prostě jen zbavit prohlášením, že jde o pseudoproblém, je nutně v rozporu s naší dnes stále se mocněji prosazující zkušeností, že objektivující, zpředmětňující chápání člověka jako nějakého objektu je dehumanizující, antropologicky </w:t>
      </w:r>
      <w:proofErr w:type="spellStart"/>
      <w:r w:rsidRPr="003921AC">
        <w:rPr>
          <w:sz w:val="24"/>
          <w:szCs w:val="24"/>
        </w:rPr>
        <w:t>vposledu</w:t>
      </w:r>
      <w:proofErr w:type="spellEnd"/>
      <w:r w:rsidRPr="003921AC">
        <w:rPr>
          <w:sz w:val="24"/>
          <w:szCs w:val="24"/>
        </w:rPr>
        <w:t xml:space="preserve"> nepřípustné a v mezilidských vztazích nemravné.“</w:t>
      </w:r>
      <w:r>
        <w:rPr>
          <w:sz w:val="24"/>
          <w:szCs w:val="24"/>
        </w:rPr>
        <w:t xml:space="preserve"> (L. </w:t>
      </w:r>
      <w:proofErr w:type="spellStart"/>
      <w:r>
        <w:rPr>
          <w:sz w:val="24"/>
          <w:szCs w:val="24"/>
        </w:rPr>
        <w:t>Hejdánek</w:t>
      </w:r>
      <w:proofErr w:type="spellEnd"/>
      <w:r>
        <w:rPr>
          <w:sz w:val="24"/>
          <w:szCs w:val="24"/>
        </w:rPr>
        <w:t xml:space="preserve">, </w:t>
      </w:r>
      <w:r w:rsidRPr="00257CFD">
        <w:rPr>
          <w:i/>
          <w:sz w:val="24"/>
          <w:szCs w:val="24"/>
        </w:rPr>
        <w:t>Nepředmětnost v myšlení a ve skutečnosti</w:t>
      </w:r>
      <w:r>
        <w:rPr>
          <w:sz w:val="24"/>
          <w:szCs w:val="24"/>
        </w:rPr>
        <w:t>, Praha 1997, str. 17.)</w:t>
      </w:r>
    </w:p>
    <w:p w:rsidR="00830E6B" w:rsidRPr="003921AC" w:rsidRDefault="00830E6B" w:rsidP="00830E6B">
      <w:pPr>
        <w:jc w:val="both"/>
        <w:rPr>
          <w:sz w:val="24"/>
          <w:szCs w:val="24"/>
        </w:rPr>
      </w:pPr>
    </w:p>
    <w:p w:rsidR="00830E6B" w:rsidRPr="004F1292" w:rsidRDefault="00830E6B" w:rsidP="00830E6B">
      <w:pPr>
        <w:jc w:val="both"/>
        <w:rPr>
          <w:sz w:val="24"/>
          <w:szCs w:val="24"/>
        </w:rPr>
      </w:pPr>
    </w:p>
    <w:sectPr w:rsidR="00830E6B" w:rsidRPr="004F1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6B"/>
    <w:rsid w:val="00047262"/>
    <w:rsid w:val="00252027"/>
    <w:rsid w:val="00294CEE"/>
    <w:rsid w:val="002B0797"/>
    <w:rsid w:val="00530D1D"/>
    <w:rsid w:val="00536B52"/>
    <w:rsid w:val="007C1E3E"/>
    <w:rsid w:val="00830E6B"/>
    <w:rsid w:val="00911150"/>
    <w:rsid w:val="00C12B9A"/>
    <w:rsid w:val="00ED6938"/>
    <w:rsid w:val="00E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FEE18-3607-40F6-BFCF-3BC15D9D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30E6B"/>
    <w:pPr>
      <w:keepNext/>
      <w:jc w:val="both"/>
      <w:outlineLvl w:val="2"/>
    </w:pPr>
    <w:rPr>
      <w:b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830E6B"/>
    <w:pPr>
      <w:keepNext/>
      <w:jc w:val="both"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30E6B"/>
    <w:rPr>
      <w:rFonts w:ascii="Times New Roman" w:eastAsia="Times New Roman" w:hAnsi="Times New Roman" w:cs="Times New Roman"/>
      <w:b/>
      <w:i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30E6B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B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B5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nemec</dc:creator>
  <cp:keywords/>
  <dc:description/>
  <cp:lastModifiedBy>vaclav nemec</cp:lastModifiedBy>
  <cp:revision>6</cp:revision>
  <cp:lastPrinted>2019-10-16T12:06:00Z</cp:lastPrinted>
  <dcterms:created xsi:type="dcterms:W3CDTF">2019-10-03T21:20:00Z</dcterms:created>
  <dcterms:modified xsi:type="dcterms:W3CDTF">2020-10-06T20:44:00Z</dcterms:modified>
</cp:coreProperties>
</file>