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95" w:rsidRPr="00A86AF9" w:rsidRDefault="00A86AF9">
      <w:pPr>
        <w:rPr>
          <w:rFonts w:ascii="Times New Roman" w:hAnsi="Times New Roman" w:cs="Times New Roman"/>
          <w:sz w:val="24"/>
          <w:szCs w:val="24"/>
        </w:rPr>
      </w:pPr>
      <w:r>
        <w:rPr>
          <w:rFonts w:ascii="Times New Roman" w:hAnsi="Times New Roman" w:cs="Times New Roman"/>
          <w:sz w:val="24"/>
          <w:szCs w:val="24"/>
        </w:rPr>
        <w:t xml:space="preserve">Profesní asociace by jistě byly důležitou složkou ve vzdělávacím systému. Byly by především možností učitelů sjednocovat se na postojích a požadavcích. Kariérní řád, je sice nastaven tarifními mzdami, ale nevystihuje zcela potřeby učitelů. Učitel nemá valný důvod podávat nadstandardní výkony, pokud není oceněna jeho práce. Se zvyšujícími nároky na výkon, odbornost, sebevzdělávání a s možností srovnávat podmínky se světem je čím dál méně mladých absolventů ochotných nastoupit do učitelské praxe a setrvat v ní. </w:t>
      </w:r>
      <w:r w:rsidR="00683189">
        <w:rPr>
          <w:rFonts w:ascii="Times New Roman" w:hAnsi="Times New Roman" w:cs="Times New Roman"/>
          <w:sz w:val="24"/>
          <w:szCs w:val="24"/>
        </w:rPr>
        <w:t>V Austrálii již po dlouhou dobu fungují profesní asociace učitelů, které si vytvo</w:t>
      </w:r>
      <w:r>
        <w:rPr>
          <w:rFonts w:ascii="Times New Roman" w:hAnsi="Times New Roman" w:cs="Times New Roman"/>
          <w:sz w:val="24"/>
          <w:szCs w:val="24"/>
        </w:rPr>
        <w:t>řily vlastní profesní standardy a i u nás by bylo vhodné tyto standardy stanovit i z důvodu lepší kontrolovatelnosti výsledků učebního procesu. Inspirace</w:t>
      </w:r>
      <w:r w:rsidR="00683189">
        <w:rPr>
          <w:rFonts w:ascii="Times New Roman" w:hAnsi="Times New Roman" w:cs="Times New Roman"/>
          <w:sz w:val="24"/>
          <w:szCs w:val="24"/>
        </w:rPr>
        <w:t xml:space="preserve"> čtyřstupňovým kariérním systémem, který definuje standardní výkon začínajícího učitele, samostatného, expertního a mimořádného učitele</w:t>
      </w:r>
      <w:r>
        <w:rPr>
          <w:rFonts w:ascii="Times New Roman" w:hAnsi="Times New Roman" w:cs="Times New Roman"/>
          <w:sz w:val="24"/>
          <w:szCs w:val="24"/>
        </w:rPr>
        <w:t xml:space="preserve"> by bylo jedním z řešení </w:t>
      </w:r>
      <w:r w:rsidR="00984905">
        <w:rPr>
          <w:rFonts w:ascii="Times New Roman" w:hAnsi="Times New Roman" w:cs="Times New Roman"/>
          <w:sz w:val="24"/>
          <w:szCs w:val="24"/>
        </w:rPr>
        <w:t>určení standardů profese učitele.</w:t>
      </w:r>
      <w:bookmarkStart w:id="0" w:name="_GoBack"/>
      <w:bookmarkEnd w:id="0"/>
    </w:p>
    <w:sectPr w:rsidR="007A0D95" w:rsidRPr="00A86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89"/>
    <w:rsid w:val="00683189"/>
    <w:rsid w:val="007A0D95"/>
    <w:rsid w:val="00984905"/>
    <w:rsid w:val="00A86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136</Words>
  <Characters>807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2017-11-22T18:59:00Z</dcterms:created>
  <dcterms:modified xsi:type="dcterms:W3CDTF">2017-11-22T19:31:00Z</dcterms:modified>
</cp:coreProperties>
</file>