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651" w:rsidRPr="006D00BD" w:rsidRDefault="006D0140" w:rsidP="001B1F13">
      <w:pPr>
        <w:ind w:firstLine="709"/>
        <w:contextualSpacing/>
        <w:jc w:val="center"/>
        <w:rPr>
          <w:rFonts w:cs="Times New Roman"/>
          <w:b/>
          <w:sz w:val="28"/>
          <w:szCs w:val="28"/>
        </w:rPr>
      </w:pPr>
      <w:r w:rsidRPr="006D00BD">
        <w:rPr>
          <w:rFonts w:cs="Times New Roman"/>
          <w:b/>
          <w:sz w:val="28"/>
          <w:szCs w:val="28"/>
        </w:rPr>
        <w:t>BECKOVA SEBEPOSUZOVACÍ ŠKÁLA DEPRESIVITY PRO DOSPĚLÉ</w:t>
      </w:r>
    </w:p>
    <w:p w:rsidR="006D0140" w:rsidRPr="006D00BD" w:rsidRDefault="006D0140" w:rsidP="001B1F13">
      <w:pPr>
        <w:ind w:firstLine="709"/>
        <w:contextualSpacing/>
        <w:jc w:val="center"/>
        <w:rPr>
          <w:rFonts w:cs="Times New Roman"/>
          <w:b/>
          <w:sz w:val="28"/>
          <w:szCs w:val="28"/>
        </w:rPr>
      </w:pPr>
      <w:r w:rsidRPr="006D00BD">
        <w:rPr>
          <w:rFonts w:cs="Times New Roman"/>
          <w:b/>
          <w:sz w:val="28"/>
          <w:szCs w:val="28"/>
        </w:rPr>
        <w:t>(BDI-II – Beck Depression Inventory-II)</w:t>
      </w:r>
    </w:p>
    <w:p w:rsidR="00857C58" w:rsidRPr="001B1F13" w:rsidRDefault="00857C58" w:rsidP="001B1F13">
      <w:pPr>
        <w:ind w:firstLine="709"/>
        <w:contextualSpacing/>
        <w:jc w:val="both"/>
        <w:rPr>
          <w:rFonts w:cs="Times New Roman"/>
          <w:szCs w:val="24"/>
        </w:rPr>
      </w:pPr>
    </w:p>
    <w:p w:rsidR="004925BD" w:rsidRPr="001B1F13" w:rsidRDefault="004925BD" w:rsidP="001B1F13">
      <w:pPr>
        <w:ind w:firstLine="709"/>
        <w:contextualSpacing/>
        <w:jc w:val="both"/>
        <w:rPr>
          <w:rFonts w:cs="Times New Roman"/>
          <w:szCs w:val="24"/>
        </w:rPr>
      </w:pPr>
      <w:r w:rsidRPr="001B1F13">
        <w:rPr>
          <w:rFonts w:cs="Times New Roman"/>
          <w:szCs w:val="24"/>
        </w:rPr>
        <w:t xml:space="preserve">Beckova sebeposuzovací škála </w:t>
      </w:r>
      <w:r w:rsidR="00EB7AAD" w:rsidRPr="001B1F13">
        <w:rPr>
          <w:rFonts w:cs="Times New Roman"/>
          <w:szCs w:val="24"/>
        </w:rPr>
        <w:t xml:space="preserve">depresivity </w:t>
      </w:r>
      <w:r w:rsidRPr="001B1F13">
        <w:rPr>
          <w:rFonts w:cs="Times New Roman"/>
          <w:szCs w:val="24"/>
        </w:rPr>
        <w:t xml:space="preserve">pro dospělé je psychodiagnostická metoda používaná ke zjišťování přítomnosti a závažnosti deprese, jakožto momentálního stavu. Neslouží pro stanovení diagnózy deprese. Nástroj má široké uplatnění v oboru klinické psychologie a neuropsychologie. První verze tohoto nástroje (BDI-I) byla vytvořena Aaronem T. Beckem a jeho spolupracovníky v roce 1961. První revize testu </w:t>
      </w:r>
      <w:r w:rsidR="00BF4B6F" w:rsidRPr="001B1F13">
        <w:rPr>
          <w:rFonts w:cs="Times New Roman"/>
          <w:szCs w:val="24"/>
        </w:rPr>
        <w:t>BDI byla</w:t>
      </w:r>
      <w:r w:rsidRPr="001B1F13">
        <w:rPr>
          <w:rFonts w:cs="Times New Roman"/>
          <w:szCs w:val="24"/>
        </w:rPr>
        <w:t xml:space="preserve"> </w:t>
      </w:r>
      <w:r w:rsidR="00BF4B6F" w:rsidRPr="001B1F13">
        <w:rPr>
          <w:rFonts w:cs="Times New Roman"/>
          <w:szCs w:val="24"/>
        </w:rPr>
        <w:t xml:space="preserve">vydána </w:t>
      </w:r>
      <w:r w:rsidRPr="001B1F13">
        <w:rPr>
          <w:rFonts w:cs="Times New Roman"/>
          <w:szCs w:val="24"/>
        </w:rPr>
        <w:t>v roce 1978 pod označením BDI-IA. V roce 1996 byla uskutečněna Beckem, Steerem a Emerym druhá revize dotazníku (BDI-II). Českou adap</w:t>
      </w:r>
      <w:bookmarkStart w:id="0" w:name="_GoBack"/>
      <w:bookmarkEnd w:id="0"/>
      <w:r w:rsidRPr="001B1F13">
        <w:rPr>
          <w:rFonts w:cs="Times New Roman"/>
          <w:szCs w:val="24"/>
        </w:rPr>
        <w:t xml:space="preserve">taci BDI-II vytvořili Preiss a Vacíř v roce 1999. </w:t>
      </w:r>
    </w:p>
    <w:p w:rsidR="00263651" w:rsidRPr="001B1F13" w:rsidRDefault="00263651" w:rsidP="001B1F13">
      <w:pPr>
        <w:ind w:firstLine="709"/>
        <w:contextualSpacing/>
        <w:jc w:val="both"/>
        <w:rPr>
          <w:rFonts w:cs="Times New Roman"/>
          <w:szCs w:val="24"/>
        </w:rPr>
      </w:pPr>
      <w:r w:rsidRPr="001B1F13">
        <w:rPr>
          <w:rFonts w:cs="Times New Roman"/>
          <w:szCs w:val="24"/>
        </w:rPr>
        <w:t>BDI-II je sebeposuzující inventář, který vyšetřovaná osoba vyplňuje stylem tužka-papír. V případě potřeby může formulář vyplňovat sám administrátor a jeho znění jedinci předčítat. Administrace spolu s vyhodnocením obvykle trvá 5-10 minut. Škála je určena pro populaci ve věku od 13-80 let. Vyšetřovaná osoba má označit výrok, který vystihuje, jak se cítí během posledních dvou týdnů včetně dne administrace. Obsah nástroje se skládá z 21 položek, které jsou zaměřeny na kognitivní, afektivní, motivační a fyziologické symptomy deprese. Každá z těchto položek obsahuje 4 možná tvrzení zaměřená na intenzitu daného příznaku se</w:t>
      </w:r>
      <w:r w:rsidR="00BF4B6F" w:rsidRPr="001B1F13">
        <w:rPr>
          <w:rFonts w:cs="Times New Roman"/>
          <w:szCs w:val="24"/>
        </w:rPr>
        <w:t xml:space="preserve"> skórováním v rozmezí 0-3 body</w:t>
      </w:r>
      <w:r w:rsidRPr="001B1F13">
        <w:rPr>
          <w:rFonts w:cs="Times New Roman"/>
          <w:szCs w:val="24"/>
        </w:rPr>
        <w:t xml:space="preserve">. Bodové hodnoty se poté sčítají. Celkový </w:t>
      </w:r>
      <w:r w:rsidR="00BF4B6F" w:rsidRPr="001B1F13">
        <w:rPr>
          <w:rFonts w:cs="Times New Roman"/>
          <w:szCs w:val="24"/>
        </w:rPr>
        <w:t>rozsah výsledného skóru je 0-63 (Preiss &amp; Vacíř, 1999; in Gottfried, 2015).</w:t>
      </w:r>
    </w:p>
    <w:p w:rsidR="00245CEA" w:rsidRPr="001B1F13" w:rsidRDefault="00263651" w:rsidP="001B1F13">
      <w:pPr>
        <w:ind w:firstLine="709"/>
        <w:contextualSpacing/>
        <w:jc w:val="both"/>
        <w:rPr>
          <w:rFonts w:cs="Times New Roman"/>
          <w:szCs w:val="24"/>
        </w:rPr>
      </w:pPr>
      <w:r w:rsidRPr="001B1F13">
        <w:rPr>
          <w:rFonts w:cs="Times New Roman"/>
          <w:szCs w:val="24"/>
        </w:rPr>
        <w:t>Preiss a Vacíř (1999; in</w:t>
      </w:r>
      <w:r w:rsidR="00BF4B6F" w:rsidRPr="001B1F13">
        <w:rPr>
          <w:rFonts w:cs="Times New Roman"/>
          <w:szCs w:val="24"/>
        </w:rPr>
        <w:t xml:space="preserve"> Gottfried, 2015) se </w:t>
      </w:r>
      <w:r w:rsidRPr="001B1F13">
        <w:rPr>
          <w:rFonts w:cs="Times New Roman"/>
          <w:szCs w:val="24"/>
        </w:rPr>
        <w:t>ve svém manuálu přiklánějí k interpretaci skórů podle autorů BDI-II a navrhují cut-off skór 16/17. Skórům v rozmezí 10-16 by měla být</w:t>
      </w:r>
      <w:r w:rsidR="00BF4B6F" w:rsidRPr="001B1F13">
        <w:rPr>
          <w:rFonts w:cs="Times New Roman"/>
          <w:szCs w:val="24"/>
        </w:rPr>
        <w:t xml:space="preserve"> podle nich</w:t>
      </w:r>
      <w:r w:rsidRPr="001B1F13">
        <w:rPr>
          <w:rFonts w:cs="Times New Roman"/>
          <w:szCs w:val="24"/>
        </w:rPr>
        <w:t xml:space="preserve"> věnována zvýšená pozornost. Cut-off skóry a kategorie z hlediska závažnosti deprese jsou následující: 0–13 pro minimální nebo žádnou depresi, 14–19 pro mírnou depresi, 20–28 pro střední a 29–63 pro těžkou depresi.</w:t>
      </w:r>
    </w:p>
    <w:p w:rsidR="003261BE" w:rsidRPr="003261BE" w:rsidRDefault="00F03495" w:rsidP="003261BE">
      <w:pPr>
        <w:ind w:firstLine="709"/>
        <w:contextualSpacing/>
        <w:jc w:val="both"/>
        <w:rPr>
          <w:rFonts w:cs="Times New Roman"/>
          <w:szCs w:val="24"/>
          <w:lang w:val="de-DE"/>
        </w:rPr>
      </w:pPr>
      <w:r w:rsidRPr="001B1F13">
        <w:rPr>
          <w:rFonts w:cs="Times New Roman"/>
          <w:szCs w:val="24"/>
        </w:rPr>
        <w:t>Standardizace originální anglické verze BDI-I</w:t>
      </w:r>
      <w:r w:rsidR="00245CEA" w:rsidRPr="001B1F13">
        <w:rPr>
          <w:rFonts w:cs="Times New Roman"/>
          <w:szCs w:val="24"/>
        </w:rPr>
        <w:t>I  (Beck, Steer &amp; Brown, 1996) proběhla na vzor</w:t>
      </w:r>
      <w:r w:rsidRPr="001B1F13">
        <w:rPr>
          <w:rFonts w:cs="Times New Roman"/>
          <w:szCs w:val="24"/>
        </w:rPr>
        <w:t>k</w:t>
      </w:r>
      <w:r w:rsidR="00245CEA" w:rsidRPr="001B1F13">
        <w:rPr>
          <w:rFonts w:cs="Times New Roman"/>
          <w:szCs w:val="24"/>
        </w:rPr>
        <w:t>u</w:t>
      </w:r>
      <w:r w:rsidRPr="001B1F13">
        <w:rPr>
          <w:rFonts w:cs="Times New Roman"/>
          <w:szCs w:val="24"/>
        </w:rPr>
        <w:t xml:space="preserve"> 500 pacientů a 120 studentů.</w:t>
      </w:r>
      <w:r w:rsidR="00245CEA" w:rsidRPr="001B1F13">
        <w:rPr>
          <w:rFonts w:cs="Times New Roman"/>
          <w:szCs w:val="24"/>
        </w:rPr>
        <w:t xml:space="preserve"> Autoři uvádějí Test-retesto</w:t>
      </w:r>
      <w:r w:rsidR="003261BE">
        <w:rPr>
          <w:rFonts w:cs="Times New Roman"/>
          <w:szCs w:val="24"/>
        </w:rPr>
        <w:t>vou reliabilitu</w:t>
      </w:r>
      <w:r w:rsidR="00245CEA" w:rsidRPr="001B1F13">
        <w:rPr>
          <w:rFonts w:cs="Times New Roman"/>
          <w:szCs w:val="24"/>
        </w:rPr>
        <w:t xml:space="preserve"> po 7 dnech 0,93, hodnotu v</w:t>
      </w:r>
      <w:r w:rsidRPr="001B1F13">
        <w:rPr>
          <w:rFonts w:cs="Times New Roman"/>
          <w:szCs w:val="24"/>
        </w:rPr>
        <w:t>nitřní ko</w:t>
      </w:r>
      <w:r w:rsidR="00245CEA" w:rsidRPr="001B1F13">
        <w:rPr>
          <w:rFonts w:cs="Times New Roman"/>
          <w:szCs w:val="24"/>
        </w:rPr>
        <w:t>nzistence škály 0,92. BDI-II vykazuje střední až silnou korelaci</w:t>
      </w:r>
      <w:r w:rsidRPr="001B1F13">
        <w:rPr>
          <w:rFonts w:cs="Times New Roman"/>
          <w:szCs w:val="24"/>
        </w:rPr>
        <w:t xml:space="preserve"> s množstvím jiných nástrojů pro měření deprese.</w:t>
      </w:r>
      <w:r w:rsidR="00245CEA" w:rsidRPr="001B1F13">
        <w:rPr>
          <w:rFonts w:cs="Times New Roman"/>
          <w:szCs w:val="24"/>
        </w:rPr>
        <w:t>(</w:t>
      </w:r>
      <w:r w:rsidRPr="001B1F13">
        <w:rPr>
          <w:rFonts w:cs="Times New Roman"/>
          <w:szCs w:val="24"/>
        </w:rPr>
        <w:t>např. Center for Epide</w:t>
      </w:r>
      <w:r w:rsidR="00245CEA" w:rsidRPr="001B1F13">
        <w:rPr>
          <w:rFonts w:cs="Times New Roman"/>
          <w:szCs w:val="24"/>
        </w:rPr>
        <w:t>miologic Studies of Depression - CES-D</w:t>
      </w:r>
      <w:r w:rsidRPr="001B1F13">
        <w:rPr>
          <w:rFonts w:cs="Times New Roman"/>
          <w:szCs w:val="24"/>
        </w:rPr>
        <w:t>, Ha</w:t>
      </w:r>
      <w:r w:rsidR="00245CEA" w:rsidRPr="001B1F13">
        <w:rPr>
          <w:rFonts w:cs="Times New Roman"/>
          <w:szCs w:val="24"/>
        </w:rPr>
        <w:t>milton Depression Rating Scale - HAM-D,</w:t>
      </w:r>
      <w:r w:rsidRPr="001B1F13">
        <w:rPr>
          <w:rFonts w:cs="Times New Roman"/>
          <w:szCs w:val="24"/>
        </w:rPr>
        <w:t xml:space="preserve"> Zung Self-Rating </w:t>
      </w:r>
      <w:r w:rsidRPr="001B1F13">
        <w:rPr>
          <w:rFonts w:cs="Times New Roman"/>
          <w:szCs w:val="24"/>
          <w:lang w:val="de-DE"/>
        </w:rPr>
        <w:t>Depression</w:t>
      </w:r>
      <w:r w:rsidR="00245CEA" w:rsidRPr="001B1F13">
        <w:rPr>
          <w:rFonts w:cs="Times New Roman"/>
          <w:szCs w:val="24"/>
          <w:lang w:val="de-DE"/>
        </w:rPr>
        <w:t xml:space="preserve"> Scale - SDS. (Wang </w:t>
      </w:r>
      <w:r w:rsidR="00245CEA" w:rsidRPr="001B1F13">
        <w:rPr>
          <w:rFonts w:cs="Times New Roman"/>
          <w:szCs w:val="24"/>
        </w:rPr>
        <w:t>&amp;</w:t>
      </w:r>
      <w:r w:rsidRPr="001B1F13">
        <w:rPr>
          <w:rFonts w:cs="Times New Roman"/>
          <w:szCs w:val="24"/>
          <w:lang w:val="de-DE"/>
        </w:rPr>
        <w:t xml:space="preserve"> Gorenstein, 2013) </w:t>
      </w:r>
      <w:r w:rsidRPr="001B1F13">
        <w:rPr>
          <w:rFonts w:cs="Times New Roman"/>
          <w:szCs w:val="24"/>
        </w:rPr>
        <w:t xml:space="preserve">Wang a Gorenstein </w:t>
      </w:r>
      <w:r w:rsidR="003261BE">
        <w:rPr>
          <w:rFonts w:cs="Times New Roman"/>
          <w:szCs w:val="24"/>
        </w:rPr>
        <w:t xml:space="preserve">(2013) </w:t>
      </w:r>
      <w:r w:rsidRPr="001B1F13">
        <w:rPr>
          <w:rFonts w:cs="Times New Roman"/>
          <w:szCs w:val="24"/>
        </w:rPr>
        <w:t>analyzovali 118 vědeck</w:t>
      </w:r>
      <w:r w:rsidR="007A38FF" w:rsidRPr="001B1F13">
        <w:rPr>
          <w:rFonts w:cs="Times New Roman"/>
          <w:szCs w:val="24"/>
        </w:rPr>
        <w:t xml:space="preserve">ých článků týkajících se BDI-II. </w:t>
      </w:r>
      <w:r w:rsidRPr="001B1F13">
        <w:rPr>
          <w:rFonts w:cs="Times New Roman"/>
          <w:szCs w:val="24"/>
        </w:rPr>
        <w:t>Studie provedené na klin</w:t>
      </w:r>
      <w:r w:rsidR="00A340BC">
        <w:rPr>
          <w:rFonts w:cs="Times New Roman"/>
          <w:szCs w:val="24"/>
        </w:rPr>
        <w:t xml:space="preserve">ických pacientech </w:t>
      </w:r>
      <w:r w:rsidRPr="001B1F13">
        <w:rPr>
          <w:rFonts w:cs="Times New Roman"/>
          <w:szCs w:val="24"/>
        </w:rPr>
        <w:t xml:space="preserve">získávaly větší průměrné skóre než studie na jiných populacích </w:t>
      </w:r>
      <w:r w:rsidR="007A38FF" w:rsidRPr="001B1F13">
        <w:rPr>
          <w:rFonts w:cs="Times New Roman"/>
          <w:szCs w:val="24"/>
        </w:rPr>
        <w:t>(studenti, dospělí, atd.</w:t>
      </w:r>
      <w:r w:rsidRPr="001B1F13">
        <w:rPr>
          <w:rFonts w:cs="Times New Roman"/>
          <w:szCs w:val="24"/>
        </w:rPr>
        <w:t>)</w:t>
      </w:r>
      <w:r w:rsidR="007A38FF" w:rsidRPr="001B1F13">
        <w:rPr>
          <w:rFonts w:cs="Times New Roman"/>
          <w:szCs w:val="24"/>
        </w:rPr>
        <w:t>, v</w:t>
      </w:r>
      <w:r w:rsidRPr="001B1F13">
        <w:rPr>
          <w:rFonts w:cs="Times New Roman"/>
          <w:szCs w:val="24"/>
        </w:rPr>
        <w:t>nitřní ko</w:t>
      </w:r>
      <w:r w:rsidR="00A340BC">
        <w:rPr>
          <w:rFonts w:cs="Times New Roman"/>
          <w:szCs w:val="24"/>
        </w:rPr>
        <w:t xml:space="preserve">nzistence BDI-II </w:t>
      </w:r>
      <w:r w:rsidR="007A38FF" w:rsidRPr="001B1F13">
        <w:rPr>
          <w:rFonts w:cs="Times New Roman"/>
          <w:szCs w:val="24"/>
        </w:rPr>
        <w:t>kolem 0,9, t</w:t>
      </w:r>
      <w:r w:rsidRPr="001B1F13">
        <w:rPr>
          <w:rFonts w:cs="Times New Roman"/>
          <w:szCs w:val="24"/>
        </w:rPr>
        <w:t>es</w:t>
      </w:r>
      <w:r w:rsidR="00A340BC">
        <w:rPr>
          <w:rFonts w:cs="Times New Roman"/>
          <w:szCs w:val="24"/>
        </w:rPr>
        <w:t>t-retestová reliabilita</w:t>
      </w:r>
      <w:r w:rsidR="007A38FF" w:rsidRPr="001B1F13">
        <w:rPr>
          <w:rFonts w:cs="Times New Roman"/>
          <w:szCs w:val="24"/>
        </w:rPr>
        <w:t xml:space="preserve"> v rozmezí od 0,73 do 0,96, v</w:t>
      </w:r>
      <w:r w:rsidRPr="001B1F13">
        <w:rPr>
          <w:rFonts w:cs="Times New Roman"/>
          <w:szCs w:val="24"/>
        </w:rPr>
        <w:t>ysoká validita</w:t>
      </w:r>
      <w:r w:rsidR="003261BE">
        <w:rPr>
          <w:rFonts w:cs="Times New Roman"/>
          <w:szCs w:val="24"/>
          <w:lang w:val="de-DE"/>
        </w:rPr>
        <w:t>. Celkově autoři</w:t>
      </w:r>
      <w:r w:rsidR="007A38FF" w:rsidRPr="001B1F13">
        <w:rPr>
          <w:rFonts w:cs="Times New Roman"/>
          <w:szCs w:val="24"/>
          <w:lang w:val="de-DE"/>
        </w:rPr>
        <w:t xml:space="preserve"> hodnotí BDI-II jako </w:t>
      </w:r>
      <w:r w:rsidR="007A38FF" w:rsidRPr="001B1F13">
        <w:rPr>
          <w:rFonts w:cs="Times New Roman"/>
          <w:szCs w:val="24"/>
        </w:rPr>
        <w:t>e</w:t>
      </w:r>
      <w:r w:rsidRPr="001B1F13">
        <w:rPr>
          <w:rFonts w:cs="Times New Roman"/>
          <w:szCs w:val="24"/>
        </w:rPr>
        <w:t>fektivní dotazník pro měření závažnosti deprese s širokou využitelností ve výzkumech a klinické praxi po celém světě.</w:t>
      </w:r>
      <w:r w:rsidR="007A38FF" w:rsidRPr="001B1F13">
        <w:rPr>
          <w:rFonts w:cs="Times New Roman"/>
          <w:szCs w:val="24"/>
        </w:rPr>
        <w:t xml:space="preserve"> </w:t>
      </w:r>
    </w:p>
    <w:p w:rsidR="003261BE" w:rsidRDefault="0097155F" w:rsidP="003261BE">
      <w:pPr>
        <w:ind w:firstLine="709"/>
        <w:contextualSpacing/>
        <w:jc w:val="both"/>
        <w:rPr>
          <w:rFonts w:cs="Times New Roman"/>
          <w:szCs w:val="24"/>
        </w:rPr>
      </w:pPr>
      <w:r w:rsidRPr="001B1F13">
        <w:rPr>
          <w:rFonts w:cs="Times New Roman"/>
          <w:szCs w:val="24"/>
        </w:rPr>
        <w:t>Řa</w:t>
      </w:r>
      <w:r w:rsidR="00245CEA" w:rsidRPr="001B1F13">
        <w:rPr>
          <w:rFonts w:cs="Times New Roman"/>
        </w:rPr>
        <w:t xml:space="preserve">da studií uvádí, že BDI-II </w:t>
      </w:r>
      <w:r w:rsidRPr="001B1F13">
        <w:rPr>
          <w:rFonts w:cs="Times New Roman"/>
          <w:szCs w:val="24"/>
        </w:rPr>
        <w:t>nadhodnocuje depresi u lidí trpících chronickým úna</w:t>
      </w:r>
      <w:r w:rsidR="006D00BD">
        <w:rPr>
          <w:rFonts w:cs="Times New Roman"/>
          <w:szCs w:val="24"/>
        </w:rPr>
        <w:t xml:space="preserve">vovým syndromem (Brown, Kaplan </w:t>
      </w:r>
      <w:r w:rsidR="006D00BD" w:rsidRPr="001B1F13">
        <w:rPr>
          <w:rFonts w:cs="Times New Roman"/>
          <w:szCs w:val="24"/>
        </w:rPr>
        <w:t>&amp;</w:t>
      </w:r>
      <w:r w:rsidRPr="001B1F13">
        <w:rPr>
          <w:rFonts w:cs="Times New Roman"/>
          <w:szCs w:val="24"/>
        </w:rPr>
        <w:t xml:space="preserve"> Jason, 2011), </w:t>
      </w:r>
      <w:r w:rsidR="006D00BD">
        <w:rPr>
          <w:rFonts w:cs="Times New Roman"/>
          <w:szCs w:val="24"/>
        </w:rPr>
        <w:t xml:space="preserve">obezitou (Hayden, Dixon, Dixon </w:t>
      </w:r>
      <w:r w:rsidR="006D00BD" w:rsidRPr="001B1F13">
        <w:rPr>
          <w:rFonts w:cs="Times New Roman"/>
          <w:szCs w:val="24"/>
        </w:rPr>
        <w:t>&amp;</w:t>
      </w:r>
      <w:r w:rsidRPr="001B1F13">
        <w:rPr>
          <w:rFonts w:cs="Times New Roman"/>
          <w:szCs w:val="24"/>
        </w:rPr>
        <w:t xml:space="preserve"> O’Brien, 2010), Huntingtonovou chorobou (Rickards et al., 2011) nebo třeba žloutenkou (Patterson et al., 2011). Důvodem jsou některé somatické projevy podobné symptomům deprese.</w:t>
      </w:r>
      <w:r w:rsidR="003261BE">
        <w:rPr>
          <w:rFonts w:cs="Times New Roman"/>
          <w:szCs w:val="24"/>
        </w:rPr>
        <w:t xml:space="preserve"> Dále pak s</w:t>
      </w:r>
      <w:r w:rsidR="003261BE" w:rsidRPr="003261BE">
        <w:rPr>
          <w:rFonts w:cs="Times New Roman"/>
          <w:szCs w:val="24"/>
        </w:rPr>
        <w:t>tředně silné korelace s nástroji měřícími úzkost</w:t>
      </w:r>
      <w:r w:rsidR="003261BE">
        <w:rPr>
          <w:rFonts w:cs="Times New Roman"/>
          <w:szCs w:val="24"/>
        </w:rPr>
        <w:t>.</w:t>
      </w:r>
    </w:p>
    <w:p w:rsidR="001B1F13" w:rsidRPr="00A340BC" w:rsidRDefault="00F03495" w:rsidP="00A340BC">
      <w:pPr>
        <w:ind w:firstLine="709"/>
        <w:contextualSpacing/>
        <w:jc w:val="both"/>
        <w:rPr>
          <w:rFonts w:cs="Times New Roman"/>
          <w:szCs w:val="24"/>
          <w:lang w:val="de-DE"/>
        </w:rPr>
      </w:pPr>
      <w:r w:rsidRPr="001B1F13">
        <w:rPr>
          <w:rFonts w:cs="Times New Roman"/>
          <w:szCs w:val="24"/>
        </w:rPr>
        <w:t>Českou adaptaci BDI-II vytvořili Preiss a Vacíř (1999).</w:t>
      </w:r>
      <w:r w:rsidR="00A340BC">
        <w:rPr>
          <w:rFonts w:cs="Times New Roman"/>
          <w:szCs w:val="24"/>
        </w:rPr>
        <w:t xml:space="preserve"> </w:t>
      </w:r>
      <w:r w:rsidRPr="001B1F13">
        <w:rPr>
          <w:rFonts w:cs="Times New Roman"/>
          <w:szCs w:val="24"/>
        </w:rPr>
        <w:t>Standardizační vzorek</w:t>
      </w:r>
      <w:r w:rsidR="00A340BC">
        <w:rPr>
          <w:rFonts w:cs="Times New Roman"/>
          <w:szCs w:val="24"/>
        </w:rPr>
        <w:t xml:space="preserve"> byl tvořen 60 mladými českými muži</w:t>
      </w:r>
      <w:r w:rsidRPr="001B1F13">
        <w:rPr>
          <w:rFonts w:cs="Times New Roman"/>
          <w:szCs w:val="24"/>
        </w:rPr>
        <w:t>, kteří nastoupi</w:t>
      </w:r>
      <w:r w:rsidR="00A340BC">
        <w:rPr>
          <w:rFonts w:cs="Times New Roman"/>
          <w:szCs w:val="24"/>
        </w:rPr>
        <w:t>li na základní vojenskou službu, kdy p</w:t>
      </w:r>
      <w:r w:rsidRPr="001B1F13">
        <w:rPr>
          <w:rFonts w:cs="Times New Roman"/>
          <w:szCs w:val="24"/>
        </w:rPr>
        <w:t>růměrné skóre deprese u nich bylo lehce zvýš</w:t>
      </w:r>
      <w:r w:rsidR="00A340BC">
        <w:rPr>
          <w:rFonts w:cs="Times New Roman"/>
          <w:szCs w:val="24"/>
        </w:rPr>
        <w:t xml:space="preserve">ené, nejspíše díky změně </w:t>
      </w:r>
      <w:r w:rsidRPr="001B1F13">
        <w:rPr>
          <w:rFonts w:cs="Times New Roman"/>
          <w:szCs w:val="24"/>
        </w:rPr>
        <w:t>denního re</w:t>
      </w:r>
      <w:r w:rsidR="00A340BC">
        <w:rPr>
          <w:rFonts w:cs="Times New Roman"/>
          <w:szCs w:val="24"/>
        </w:rPr>
        <w:t>žimu. Důvodem z</w:t>
      </w:r>
      <w:r w:rsidRPr="001B1F13">
        <w:rPr>
          <w:rFonts w:cs="Times New Roman"/>
          <w:szCs w:val="24"/>
        </w:rPr>
        <w:t>výšení však může být i důsledkem českého překladu.</w:t>
      </w:r>
      <w:r w:rsidR="00A340BC">
        <w:rPr>
          <w:rFonts w:cs="Times New Roman"/>
          <w:szCs w:val="24"/>
        </w:rPr>
        <w:t xml:space="preserve"> U české verze BDI-II díky absenci</w:t>
      </w:r>
      <w:r w:rsidRPr="001B1F13">
        <w:rPr>
          <w:rFonts w:cs="Times New Roman"/>
          <w:szCs w:val="24"/>
        </w:rPr>
        <w:t xml:space="preserve"> stand</w:t>
      </w:r>
      <w:r w:rsidR="00A340BC">
        <w:rPr>
          <w:rFonts w:cs="Times New Roman"/>
          <w:szCs w:val="24"/>
        </w:rPr>
        <w:t xml:space="preserve">ardizačního klinického vzorku nelze stanovit lokální normy, </w:t>
      </w:r>
      <w:r w:rsidRPr="001B1F13">
        <w:rPr>
          <w:rFonts w:cs="Times New Roman"/>
          <w:szCs w:val="24"/>
        </w:rPr>
        <w:t>nejsou k dispozici důka</w:t>
      </w:r>
      <w:r w:rsidR="00A340BC">
        <w:rPr>
          <w:rFonts w:cs="Times New Roman"/>
          <w:szCs w:val="24"/>
        </w:rPr>
        <w:t>zy o validitě ani reliabilitě, s</w:t>
      </w:r>
      <w:r w:rsidRPr="001B1F13">
        <w:rPr>
          <w:rFonts w:cs="Times New Roman"/>
          <w:szCs w:val="24"/>
        </w:rPr>
        <w:t>enzitivita ani</w:t>
      </w:r>
      <w:r w:rsidR="00A340BC">
        <w:rPr>
          <w:rFonts w:cs="Times New Roman"/>
          <w:szCs w:val="24"/>
        </w:rPr>
        <w:t xml:space="preserve"> specificita nebyly zjišťovány, p</w:t>
      </w:r>
      <w:r w:rsidR="001B1F13" w:rsidRPr="001B1F13">
        <w:rPr>
          <w:rFonts w:cs="Times New Roman"/>
        </w:rPr>
        <w:t>ři interpretaci výsledků</w:t>
      </w:r>
      <w:r w:rsidR="00A340BC">
        <w:rPr>
          <w:rFonts w:cs="Times New Roman"/>
        </w:rPr>
        <w:t xml:space="preserve"> se používají zahraniční normy </w:t>
      </w:r>
      <w:r w:rsidR="001B1F13" w:rsidRPr="001B1F13">
        <w:rPr>
          <w:rFonts w:cs="Times New Roman"/>
        </w:rPr>
        <w:t>(Gottfried, 2015)</w:t>
      </w:r>
      <w:r w:rsidR="00A340BC">
        <w:rPr>
          <w:rFonts w:cs="Times New Roman"/>
        </w:rPr>
        <w:t>.</w:t>
      </w:r>
    </w:p>
    <w:p w:rsidR="00857C58" w:rsidRPr="001B1F13" w:rsidRDefault="00857C58" w:rsidP="001B1F13">
      <w:pPr>
        <w:pStyle w:val="Default"/>
        <w:spacing w:after="240"/>
        <w:ind w:firstLine="709"/>
        <w:contextualSpacing/>
        <w:jc w:val="both"/>
        <w:rPr>
          <w:rFonts w:ascii="Times New Roman" w:hAnsi="Times New Roman" w:cs="Times New Roman"/>
          <w:color w:val="auto"/>
        </w:rPr>
      </w:pPr>
    </w:p>
    <w:p w:rsidR="006D00BD" w:rsidRDefault="00857C58" w:rsidP="003261BE">
      <w:pPr>
        <w:pStyle w:val="Default"/>
        <w:spacing w:after="240"/>
        <w:ind w:firstLine="709"/>
        <w:contextualSpacing/>
        <w:jc w:val="both"/>
        <w:rPr>
          <w:rFonts w:ascii="Times New Roman" w:hAnsi="Times New Roman" w:cs="Times New Roman"/>
          <w:bCs/>
        </w:rPr>
      </w:pPr>
      <w:r w:rsidRPr="001B1F13">
        <w:rPr>
          <w:rFonts w:ascii="Times New Roman" w:hAnsi="Times New Roman" w:cs="Times New Roman"/>
          <w:bCs/>
        </w:rPr>
        <w:t xml:space="preserve">Mezi největší výhody a klady </w:t>
      </w:r>
      <w:r w:rsidR="007A38FF" w:rsidRPr="001B1F13">
        <w:rPr>
          <w:rFonts w:ascii="Times New Roman" w:hAnsi="Times New Roman" w:cs="Times New Roman"/>
          <w:bCs/>
        </w:rPr>
        <w:t xml:space="preserve">české verze </w:t>
      </w:r>
      <w:r w:rsidRPr="001B1F13">
        <w:rPr>
          <w:rFonts w:ascii="Times New Roman" w:hAnsi="Times New Roman" w:cs="Times New Roman"/>
          <w:bCs/>
        </w:rPr>
        <w:t xml:space="preserve">metody BDI-II patří její jednoduchost, rychlost administrace a vyhodnocování, jedná se o světově rozšířený a uznávaný nástroj, který je přeložen do více jazyků. BDI-II slouží ke zjišťování přítomnosti deprese, její aktuální závažnosti, sledování vývoje onemocnění. Může sloužit zároveň jako pravidelná kontrola nebo detekce změn stavu pacient. Zaměření se na skóry jednotlivých položek může být užitečným vodítkem při tvorbě celkového obrazu deprese. </w:t>
      </w:r>
    </w:p>
    <w:p w:rsidR="006D00BD" w:rsidRDefault="00857C58" w:rsidP="003261BE">
      <w:pPr>
        <w:pStyle w:val="Default"/>
        <w:spacing w:after="240"/>
        <w:ind w:firstLine="709"/>
        <w:contextualSpacing/>
        <w:jc w:val="both"/>
        <w:rPr>
          <w:rFonts w:ascii="Times New Roman" w:hAnsi="Times New Roman" w:cs="Times New Roman"/>
          <w:bCs/>
        </w:rPr>
      </w:pPr>
      <w:r w:rsidRPr="001B1F13">
        <w:rPr>
          <w:rFonts w:ascii="Times New Roman" w:hAnsi="Times New Roman" w:cs="Times New Roman"/>
          <w:bCs/>
        </w:rPr>
        <w:t xml:space="preserve">Mezi nevýhody a negativa metody BDI-II patří snadné vědomé ovlivnění odpovědí respondenta. BDI-II je nevhodným nástrojem pro stanovení diagnózy deprese, lze ho ale použít ke screeningu či měření aktuální závažnosti deprese. Dále pak korelace nejen se symptomy deprese, ale také s jinými negativními emocionálními stavy, které provázejí i jiné duševní onemocnění než jen depresi (např. úzkost). Při interpretaci výsledků se používají zahraniční normy, je tedy nutné provést důkladnější standardizaci, aby mohly být stanoveny lokální normy. Není možné blíže ověřit reliabilitu či validitu nástroje. </w:t>
      </w:r>
    </w:p>
    <w:p w:rsidR="00857C58" w:rsidRPr="001B1F13" w:rsidRDefault="00857C58" w:rsidP="003261BE">
      <w:pPr>
        <w:pStyle w:val="Default"/>
        <w:spacing w:after="240"/>
        <w:ind w:firstLine="709"/>
        <w:contextualSpacing/>
        <w:jc w:val="both"/>
        <w:rPr>
          <w:rFonts w:ascii="Times New Roman" w:hAnsi="Times New Roman" w:cs="Times New Roman"/>
          <w:bCs/>
        </w:rPr>
      </w:pPr>
      <w:r w:rsidRPr="001B1F13">
        <w:rPr>
          <w:rFonts w:ascii="Times New Roman" w:hAnsi="Times New Roman" w:cs="Times New Roman"/>
          <w:bCs/>
        </w:rPr>
        <w:t xml:space="preserve">Celkově českou verzi BDI-II hodnotíme za 2 (Ano, ale).  </w:t>
      </w:r>
    </w:p>
    <w:p w:rsidR="006D00BD" w:rsidRDefault="006D00BD" w:rsidP="003261BE">
      <w:pPr>
        <w:ind w:firstLine="0"/>
        <w:contextualSpacing/>
        <w:jc w:val="both"/>
        <w:rPr>
          <w:rFonts w:cs="Times New Roman"/>
          <w:b/>
          <w:szCs w:val="24"/>
        </w:rPr>
      </w:pPr>
    </w:p>
    <w:p w:rsidR="004925BD" w:rsidRPr="003261BE" w:rsidRDefault="00263651" w:rsidP="003261BE">
      <w:pPr>
        <w:ind w:firstLine="0"/>
        <w:contextualSpacing/>
        <w:jc w:val="both"/>
        <w:rPr>
          <w:rFonts w:cs="Times New Roman"/>
          <w:szCs w:val="24"/>
        </w:rPr>
      </w:pPr>
      <w:r w:rsidRPr="001B1F13">
        <w:rPr>
          <w:rFonts w:cs="Times New Roman"/>
          <w:b/>
          <w:szCs w:val="24"/>
        </w:rPr>
        <w:t>ZDROJE</w:t>
      </w:r>
    </w:p>
    <w:p w:rsidR="001B1F13" w:rsidRPr="001B1F13" w:rsidRDefault="00F03495" w:rsidP="003261BE">
      <w:pPr>
        <w:numPr>
          <w:ilvl w:val="0"/>
          <w:numId w:val="10"/>
        </w:numPr>
        <w:tabs>
          <w:tab w:val="clear" w:pos="720"/>
          <w:tab w:val="num" w:pos="426"/>
        </w:tabs>
        <w:ind w:left="284" w:hanging="284"/>
        <w:contextualSpacing/>
        <w:jc w:val="both"/>
        <w:rPr>
          <w:rFonts w:cs="Times New Roman"/>
          <w:szCs w:val="24"/>
        </w:rPr>
      </w:pPr>
      <w:r w:rsidRPr="001B1F13">
        <w:rPr>
          <w:rFonts w:cs="Times New Roman"/>
          <w:szCs w:val="24"/>
        </w:rPr>
        <w:t>Beck, A. T., Steer, R. A. &amp; Brown, G.K. (1996</w:t>
      </w:r>
      <w:r w:rsidRPr="001B1F13">
        <w:rPr>
          <w:rFonts w:cs="Times New Roman"/>
          <w:i/>
          <w:iCs/>
          <w:szCs w:val="24"/>
        </w:rPr>
        <w:t>). Manual for the Beck Depression Inventory-II</w:t>
      </w:r>
      <w:r w:rsidRPr="001B1F13">
        <w:rPr>
          <w:rFonts w:cs="Times New Roman"/>
          <w:szCs w:val="24"/>
        </w:rPr>
        <w:t>. San Antonio,</w:t>
      </w:r>
      <w:r w:rsidR="001B1F13" w:rsidRPr="001B1F13">
        <w:rPr>
          <w:rFonts w:cs="Times New Roman"/>
          <w:szCs w:val="24"/>
        </w:rPr>
        <w:t xml:space="preserve"> TX: Psychological Corporation.</w:t>
      </w:r>
    </w:p>
    <w:p w:rsidR="003261BE" w:rsidRDefault="00F03495" w:rsidP="003261BE">
      <w:pPr>
        <w:numPr>
          <w:ilvl w:val="0"/>
          <w:numId w:val="10"/>
        </w:numPr>
        <w:tabs>
          <w:tab w:val="clear" w:pos="720"/>
          <w:tab w:val="num" w:pos="426"/>
        </w:tabs>
        <w:ind w:left="284" w:hanging="284"/>
        <w:contextualSpacing/>
        <w:jc w:val="both"/>
        <w:rPr>
          <w:rFonts w:cs="Times New Roman"/>
          <w:szCs w:val="24"/>
        </w:rPr>
      </w:pPr>
      <w:r w:rsidRPr="001B1F13">
        <w:rPr>
          <w:rFonts w:cs="Times New Roman"/>
          <w:szCs w:val="24"/>
        </w:rPr>
        <w:t xml:space="preserve">Brown, M., Kaplan, C. &amp; Jason, L. (2011). Factor analysis of the Beck Depression Inventory-II with patiens with chronic fatigue syndrome. </w:t>
      </w:r>
      <w:r w:rsidRPr="001B1F13">
        <w:rPr>
          <w:rFonts w:cs="Times New Roman"/>
          <w:i/>
          <w:iCs/>
          <w:szCs w:val="24"/>
        </w:rPr>
        <w:t>Journal of Health Psychology, 17</w:t>
      </w:r>
      <w:r w:rsidR="003261BE">
        <w:rPr>
          <w:rFonts w:cs="Times New Roman"/>
          <w:szCs w:val="24"/>
        </w:rPr>
        <w:t>(6), 799-808.</w:t>
      </w:r>
    </w:p>
    <w:p w:rsidR="003261BE" w:rsidRDefault="00F03495" w:rsidP="003261BE">
      <w:pPr>
        <w:numPr>
          <w:ilvl w:val="0"/>
          <w:numId w:val="10"/>
        </w:numPr>
        <w:tabs>
          <w:tab w:val="clear" w:pos="720"/>
          <w:tab w:val="num" w:pos="426"/>
        </w:tabs>
        <w:ind w:left="284" w:hanging="284"/>
        <w:contextualSpacing/>
        <w:jc w:val="both"/>
        <w:rPr>
          <w:rFonts w:cs="Times New Roman"/>
          <w:szCs w:val="24"/>
        </w:rPr>
      </w:pPr>
      <w:r w:rsidRPr="003261BE">
        <w:rPr>
          <w:rFonts w:cs="Times New Roman"/>
          <w:szCs w:val="24"/>
          <w:lang w:val="en-US"/>
        </w:rPr>
        <w:t>D</w:t>
      </w:r>
      <w:r w:rsidRPr="003261BE">
        <w:rPr>
          <w:rFonts w:cs="Times New Roman"/>
          <w:szCs w:val="24"/>
        </w:rPr>
        <w:t>ozois,</w:t>
      </w:r>
      <w:r w:rsidRPr="003261BE">
        <w:rPr>
          <w:rFonts w:cs="Times New Roman"/>
          <w:szCs w:val="24"/>
          <w:lang w:val="en-US"/>
        </w:rPr>
        <w:t xml:space="preserve"> D. J. A.</w:t>
      </w:r>
      <w:r w:rsidRPr="003261BE">
        <w:rPr>
          <w:rFonts w:cs="Times New Roman"/>
          <w:szCs w:val="24"/>
        </w:rPr>
        <w:t xml:space="preserve">, </w:t>
      </w:r>
      <w:r w:rsidRPr="003261BE">
        <w:rPr>
          <w:rFonts w:cs="Times New Roman"/>
          <w:szCs w:val="24"/>
          <w:lang w:val="en-US"/>
        </w:rPr>
        <w:t>D</w:t>
      </w:r>
      <w:r w:rsidRPr="003261BE">
        <w:rPr>
          <w:rFonts w:cs="Times New Roman"/>
          <w:szCs w:val="24"/>
        </w:rPr>
        <w:t>obson,</w:t>
      </w:r>
      <w:r w:rsidRPr="003261BE">
        <w:rPr>
          <w:rFonts w:cs="Times New Roman"/>
          <w:szCs w:val="24"/>
          <w:lang w:val="en-US"/>
        </w:rPr>
        <w:t xml:space="preserve"> K. S.</w:t>
      </w:r>
      <w:r w:rsidRPr="003261BE">
        <w:rPr>
          <w:rFonts w:cs="Times New Roman"/>
          <w:szCs w:val="24"/>
        </w:rPr>
        <w:t xml:space="preserve"> &amp;</w:t>
      </w:r>
      <w:r w:rsidRPr="003261BE">
        <w:rPr>
          <w:rFonts w:cs="Times New Roman"/>
          <w:szCs w:val="24"/>
          <w:lang w:val="en-US"/>
        </w:rPr>
        <w:t xml:space="preserve"> A</w:t>
      </w:r>
      <w:r w:rsidRPr="003261BE">
        <w:rPr>
          <w:rFonts w:cs="Times New Roman"/>
          <w:szCs w:val="24"/>
        </w:rPr>
        <w:t>hnberg,</w:t>
      </w:r>
      <w:r w:rsidRPr="003261BE">
        <w:rPr>
          <w:rFonts w:cs="Times New Roman"/>
          <w:szCs w:val="24"/>
          <w:lang w:val="en-US"/>
        </w:rPr>
        <w:t xml:space="preserve"> J. L.</w:t>
      </w:r>
      <w:r w:rsidRPr="003261BE">
        <w:rPr>
          <w:rFonts w:cs="Times New Roman"/>
          <w:szCs w:val="24"/>
        </w:rPr>
        <w:t xml:space="preserve"> (1998).</w:t>
      </w:r>
      <w:r w:rsidRPr="003261BE">
        <w:rPr>
          <w:rFonts w:cs="Times New Roman"/>
          <w:szCs w:val="24"/>
          <w:lang w:val="en-US"/>
        </w:rPr>
        <w:t xml:space="preserve"> A Psychometric Evaluation of the Beck Depression Inventory – II. </w:t>
      </w:r>
      <w:r w:rsidRPr="003261BE">
        <w:rPr>
          <w:rFonts w:cs="Times New Roman"/>
          <w:i/>
          <w:iCs/>
          <w:szCs w:val="24"/>
          <w:lang w:val="en-US"/>
        </w:rPr>
        <w:t>Psychological Assesment, 10</w:t>
      </w:r>
      <w:r w:rsidRPr="003261BE">
        <w:rPr>
          <w:rFonts w:cs="Times New Roman"/>
          <w:szCs w:val="24"/>
        </w:rPr>
        <w:t>(</w:t>
      </w:r>
      <w:r w:rsidRPr="003261BE">
        <w:rPr>
          <w:rFonts w:cs="Times New Roman"/>
          <w:szCs w:val="24"/>
          <w:lang w:val="en-US"/>
        </w:rPr>
        <w:t>2</w:t>
      </w:r>
      <w:r w:rsidRPr="003261BE">
        <w:rPr>
          <w:rFonts w:cs="Times New Roman"/>
          <w:szCs w:val="24"/>
        </w:rPr>
        <w:t>)</w:t>
      </w:r>
      <w:r w:rsidRPr="003261BE">
        <w:rPr>
          <w:rFonts w:cs="Times New Roman"/>
          <w:szCs w:val="24"/>
          <w:lang w:val="en-US"/>
        </w:rPr>
        <w:t>, 83-89</w:t>
      </w:r>
      <w:r w:rsidRPr="003261BE">
        <w:rPr>
          <w:rFonts w:cs="Times New Roman"/>
          <w:szCs w:val="24"/>
        </w:rPr>
        <w:t xml:space="preserve"> </w:t>
      </w:r>
    </w:p>
    <w:p w:rsidR="003261BE" w:rsidRDefault="00F03495" w:rsidP="003261BE">
      <w:pPr>
        <w:numPr>
          <w:ilvl w:val="0"/>
          <w:numId w:val="10"/>
        </w:numPr>
        <w:tabs>
          <w:tab w:val="clear" w:pos="720"/>
          <w:tab w:val="num" w:pos="426"/>
        </w:tabs>
        <w:ind w:left="284" w:hanging="284"/>
        <w:contextualSpacing/>
        <w:jc w:val="both"/>
        <w:rPr>
          <w:rFonts w:cs="Times New Roman"/>
          <w:szCs w:val="24"/>
        </w:rPr>
      </w:pPr>
      <w:r w:rsidRPr="003261BE">
        <w:rPr>
          <w:rFonts w:cs="Times New Roman"/>
          <w:szCs w:val="24"/>
        </w:rPr>
        <w:t>Gottfried, J. (2015). Beckova sebeposuzovací škála depresivity pro dospělé. Recenze metody</w:t>
      </w:r>
      <w:r w:rsidRPr="003261BE">
        <w:rPr>
          <w:rFonts w:cs="Times New Roman"/>
          <w:i/>
          <w:iCs/>
          <w:szCs w:val="24"/>
        </w:rPr>
        <w:t xml:space="preserve">. Testfórum, 5, </w:t>
      </w:r>
      <w:r w:rsidRPr="003261BE">
        <w:rPr>
          <w:rFonts w:cs="Times New Roman"/>
          <w:szCs w:val="24"/>
        </w:rPr>
        <w:t xml:space="preserve">20-25. </w:t>
      </w:r>
    </w:p>
    <w:p w:rsidR="003261BE" w:rsidRDefault="00F03495" w:rsidP="003261BE">
      <w:pPr>
        <w:numPr>
          <w:ilvl w:val="0"/>
          <w:numId w:val="10"/>
        </w:numPr>
        <w:tabs>
          <w:tab w:val="clear" w:pos="720"/>
          <w:tab w:val="num" w:pos="426"/>
        </w:tabs>
        <w:ind w:left="284" w:hanging="284"/>
        <w:contextualSpacing/>
        <w:jc w:val="both"/>
        <w:rPr>
          <w:rFonts w:cs="Times New Roman"/>
          <w:szCs w:val="24"/>
        </w:rPr>
      </w:pPr>
      <w:r w:rsidRPr="003261BE">
        <w:rPr>
          <w:rFonts w:cs="Times New Roman"/>
          <w:szCs w:val="24"/>
        </w:rPr>
        <w:t xml:space="preserve">Hayden, M. J., Dixon, J. B., Dixon, M. E. &amp; O’Brien, P. E. (2010). Confirmatory factor analysis of the Beck Depression Inventory in obese individuals seeking surgery. </w:t>
      </w:r>
      <w:r w:rsidRPr="003261BE">
        <w:rPr>
          <w:rFonts w:cs="Times New Roman"/>
          <w:i/>
          <w:iCs/>
          <w:szCs w:val="24"/>
        </w:rPr>
        <w:t>Obesity Surgery, 20</w:t>
      </w:r>
      <w:r w:rsidRPr="003261BE">
        <w:rPr>
          <w:rFonts w:cs="Times New Roman"/>
          <w:szCs w:val="24"/>
        </w:rPr>
        <w:t>, 432-439.</w:t>
      </w:r>
    </w:p>
    <w:p w:rsidR="003261BE" w:rsidRDefault="00F03495" w:rsidP="003261BE">
      <w:pPr>
        <w:numPr>
          <w:ilvl w:val="0"/>
          <w:numId w:val="10"/>
        </w:numPr>
        <w:tabs>
          <w:tab w:val="clear" w:pos="720"/>
          <w:tab w:val="num" w:pos="426"/>
        </w:tabs>
        <w:ind w:left="284" w:hanging="284"/>
        <w:contextualSpacing/>
        <w:jc w:val="both"/>
        <w:rPr>
          <w:rFonts w:cs="Times New Roman"/>
          <w:szCs w:val="24"/>
        </w:rPr>
      </w:pPr>
      <w:r w:rsidRPr="003261BE">
        <w:rPr>
          <w:rFonts w:cs="Times New Roman"/>
          <w:szCs w:val="24"/>
        </w:rPr>
        <w:t xml:space="preserve">Patterson, A. L., Morasco, B. J., Fuller, B. E., Indest, D. W., Loftis, J. M. &amp; Hauser, P. (2011). Screening for depression in patients with hepatitis C using the Beck Depression Inventory-II: do somatic symptoms kompromise validity? </w:t>
      </w:r>
      <w:r w:rsidRPr="003261BE">
        <w:rPr>
          <w:rFonts w:cs="Times New Roman"/>
          <w:i/>
          <w:iCs/>
          <w:szCs w:val="24"/>
        </w:rPr>
        <w:t>General Hospital Psychiatry, 33</w:t>
      </w:r>
      <w:r w:rsidRPr="003261BE">
        <w:rPr>
          <w:rFonts w:cs="Times New Roman"/>
          <w:szCs w:val="24"/>
        </w:rPr>
        <w:t>, 354-362</w:t>
      </w:r>
    </w:p>
    <w:p w:rsidR="003261BE" w:rsidRDefault="00F03495" w:rsidP="003261BE">
      <w:pPr>
        <w:numPr>
          <w:ilvl w:val="0"/>
          <w:numId w:val="10"/>
        </w:numPr>
        <w:tabs>
          <w:tab w:val="clear" w:pos="720"/>
          <w:tab w:val="num" w:pos="426"/>
        </w:tabs>
        <w:ind w:left="284" w:hanging="284"/>
        <w:contextualSpacing/>
        <w:jc w:val="both"/>
        <w:rPr>
          <w:rFonts w:cs="Times New Roman"/>
          <w:szCs w:val="24"/>
        </w:rPr>
      </w:pPr>
      <w:r w:rsidRPr="003261BE">
        <w:rPr>
          <w:rFonts w:cs="Times New Roman"/>
          <w:szCs w:val="24"/>
        </w:rPr>
        <w:t xml:space="preserve">Preiss, M. &amp; Vacíř, K. (1999). </w:t>
      </w:r>
      <w:r w:rsidRPr="003261BE">
        <w:rPr>
          <w:rFonts w:cs="Times New Roman"/>
          <w:i/>
          <w:iCs/>
          <w:szCs w:val="24"/>
        </w:rPr>
        <w:t>Beckova sebeposuzovací škála depresivity pro dospělé: BDI–II</w:t>
      </w:r>
      <w:r w:rsidRPr="003261BE">
        <w:rPr>
          <w:rFonts w:cs="Times New Roman"/>
          <w:szCs w:val="24"/>
        </w:rPr>
        <w:t xml:space="preserve">. Příručka. Brno: Psychodiagnostika. </w:t>
      </w:r>
    </w:p>
    <w:p w:rsidR="003261BE" w:rsidRDefault="00F03495" w:rsidP="003261BE">
      <w:pPr>
        <w:numPr>
          <w:ilvl w:val="0"/>
          <w:numId w:val="10"/>
        </w:numPr>
        <w:tabs>
          <w:tab w:val="clear" w:pos="720"/>
          <w:tab w:val="num" w:pos="426"/>
        </w:tabs>
        <w:ind w:left="284" w:hanging="284"/>
        <w:contextualSpacing/>
        <w:jc w:val="both"/>
        <w:rPr>
          <w:rFonts w:cs="Times New Roman"/>
          <w:szCs w:val="24"/>
        </w:rPr>
      </w:pPr>
      <w:r w:rsidRPr="003261BE">
        <w:rPr>
          <w:rFonts w:cs="Times New Roman"/>
          <w:szCs w:val="24"/>
        </w:rPr>
        <w:t xml:space="preserve">Rickards, H., De Souza J., Crooks, J., van Walsem, M. R., van Duijn, E., et al. (2011). Discriminant analysis of Beck Depression Inventory and Hamilton Rating Scale for Depression in Huntington’s disease. </w:t>
      </w:r>
      <w:r w:rsidRPr="003261BE">
        <w:rPr>
          <w:rFonts w:cs="Times New Roman"/>
          <w:i/>
          <w:iCs/>
          <w:szCs w:val="24"/>
        </w:rPr>
        <w:t>Journal of Neuropsychiatry and Clinical Neurosciences, 23</w:t>
      </w:r>
      <w:r w:rsidRPr="003261BE">
        <w:rPr>
          <w:rFonts w:cs="Times New Roman"/>
          <w:szCs w:val="24"/>
        </w:rPr>
        <w:t>, 399-402.</w:t>
      </w:r>
    </w:p>
    <w:p w:rsidR="008A3E6A" w:rsidRPr="003261BE" w:rsidRDefault="00F03495" w:rsidP="003261BE">
      <w:pPr>
        <w:numPr>
          <w:ilvl w:val="0"/>
          <w:numId w:val="10"/>
        </w:numPr>
        <w:tabs>
          <w:tab w:val="clear" w:pos="720"/>
          <w:tab w:val="num" w:pos="426"/>
        </w:tabs>
        <w:ind w:left="284" w:hanging="284"/>
        <w:contextualSpacing/>
        <w:jc w:val="both"/>
        <w:rPr>
          <w:rFonts w:cs="Times New Roman"/>
          <w:szCs w:val="24"/>
        </w:rPr>
      </w:pPr>
      <w:r w:rsidRPr="003261BE">
        <w:rPr>
          <w:rFonts w:cs="Times New Roman"/>
          <w:szCs w:val="24"/>
        </w:rPr>
        <w:t xml:space="preserve">Wang, Y. P. &amp; Gorenstein, C. (2013). Psychometric properties of the Beck Depression Inventory-II: a comprehensive review. </w:t>
      </w:r>
      <w:r w:rsidRPr="003261BE">
        <w:rPr>
          <w:rFonts w:cs="Times New Roman"/>
          <w:i/>
          <w:iCs/>
          <w:szCs w:val="24"/>
        </w:rPr>
        <w:t xml:space="preserve">Revista Brasileira de Psiquiatria, 35, </w:t>
      </w:r>
      <w:r w:rsidRPr="003261BE">
        <w:rPr>
          <w:rFonts w:cs="Times New Roman"/>
          <w:szCs w:val="24"/>
        </w:rPr>
        <w:t>416-431.</w:t>
      </w:r>
    </w:p>
    <w:p w:rsidR="00263651" w:rsidRPr="001B1F13" w:rsidRDefault="00263651" w:rsidP="001B1F13">
      <w:pPr>
        <w:ind w:firstLine="709"/>
        <w:contextualSpacing/>
        <w:jc w:val="both"/>
        <w:rPr>
          <w:rFonts w:cs="Times New Roman"/>
          <w:szCs w:val="24"/>
        </w:rPr>
      </w:pPr>
    </w:p>
    <w:sectPr w:rsidR="00263651" w:rsidRPr="001B1F13" w:rsidSect="00133A6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7E1" w:rsidRDefault="006A57E1" w:rsidP="006D00BD">
      <w:pPr>
        <w:spacing w:after="0"/>
      </w:pPr>
      <w:r>
        <w:separator/>
      </w:r>
    </w:p>
  </w:endnote>
  <w:endnote w:type="continuationSeparator" w:id="0">
    <w:p w:rsidR="006A57E1" w:rsidRDefault="006A57E1" w:rsidP="006D00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875626"/>
      <w:docPartObj>
        <w:docPartGallery w:val="Page Numbers (Bottom of Page)"/>
        <w:docPartUnique/>
      </w:docPartObj>
    </w:sdtPr>
    <w:sdtEndPr/>
    <w:sdtContent>
      <w:p w:rsidR="006D00BD" w:rsidRDefault="006A57E1">
        <w:pPr>
          <w:pStyle w:val="Zpat"/>
          <w:jc w:val="right"/>
        </w:pPr>
        <w:r>
          <w:fldChar w:fldCharType="begin"/>
        </w:r>
        <w:r>
          <w:instrText xml:space="preserve"> PAGE   \* MERGEFORMAT </w:instrText>
        </w:r>
        <w:r>
          <w:fldChar w:fldCharType="separate"/>
        </w:r>
        <w:r w:rsidR="00BA7487">
          <w:rPr>
            <w:noProof/>
          </w:rPr>
          <w:t>1</w:t>
        </w:r>
        <w:r>
          <w:rPr>
            <w:noProof/>
          </w:rPr>
          <w:fldChar w:fldCharType="end"/>
        </w:r>
      </w:p>
    </w:sdtContent>
  </w:sdt>
  <w:p w:rsidR="006D00BD" w:rsidRDefault="006D00B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7E1" w:rsidRDefault="006A57E1" w:rsidP="006D00BD">
      <w:pPr>
        <w:spacing w:after="0"/>
      </w:pPr>
      <w:r>
        <w:separator/>
      </w:r>
    </w:p>
  </w:footnote>
  <w:footnote w:type="continuationSeparator" w:id="0">
    <w:p w:rsidR="006A57E1" w:rsidRDefault="006A57E1" w:rsidP="006D00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487" w:rsidRDefault="00BA7487" w:rsidP="00BA7487">
    <w:pPr>
      <w:pStyle w:val="Zhlav"/>
      <w:tabs>
        <w:tab w:val="clear" w:pos="4536"/>
      </w:tabs>
      <w:ind w:firstLine="0"/>
    </w:pPr>
    <w:r>
      <w:t>Metodologická praktika v psychologii</w:t>
    </w:r>
    <w:r>
      <w:tab/>
    </w:r>
    <w:r>
      <w:t>Sára Urbančíková, Lucie Domkářová</w:t>
    </w:r>
  </w:p>
  <w:p w:rsidR="00BA7487" w:rsidRDefault="00BA7487" w:rsidP="00BA7487">
    <w:pPr>
      <w:pStyle w:val="Zhlav"/>
      <w:tabs>
        <w:tab w:val="clear" w:pos="4536"/>
      </w:tabs>
      <w:ind w:firstLine="0"/>
    </w:pPr>
    <w:r>
      <w:t>Katedra psychologie FF UK</w:t>
    </w:r>
    <w:r>
      <w:tab/>
      <w:t>Akademický rok 2015/16</w:t>
    </w:r>
  </w:p>
  <w:p w:rsidR="00BA7487" w:rsidRDefault="00BA7487" w:rsidP="00BA7487">
    <w:pPr>
      <w:pStyle w:val="Zhlav"/>
      <w:tabs>
        <w:tab w:val="clear" w:pos="4536"/>
      </w:tabs>
    </w:pPr>
  </w:p>
  <w:p w:rsidR="00BA7487" w:rsidRDefault="00BA748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3A46"/>
    <w:multiLevelType w:val="hybridMultilevel"/>
    <w:tmpl w:val="982EB6E0"/>
    <w:lvl w:ilvl="0" w:tplc="5A528CE6">
      <w:start w:val="1"/>
      <w:numFmt w:val="bullet"/>
      <w:lvlText w:val=""/>
      <w:lvlJc w:val="left"/>
      <w:pPr>
        <w:tabs>
          <w:tab w:val="num" w:pos="720"/>
        </w:tabs>
        <w:ind w:left="720" w:hanging="360"/>
      </w:pPr>
      <w:rPr>
        <w:rFonts w:ascii="Wingdings 3" w:hAnsi="Wingdings 3" w:hint="default"/>
      </w:rPr>
    </w:lvl>
    <w:lvl w:ilvl="1" w:tplc="D2E2C576" w:tentative="1">
      <w:start w:val="1"/>
      <w:numFmt w:val="bullet"/>
      <w:lvlText w:val=""/>
      <w:lvlJc w:val="left"/>
      <w:pPr>
        <w:tabs>
          <w:tab w:val="num" w:pos="1440"/>
        </w:tabs>
        <w:ind w:left="1440" w:hanging="360"/>
      </w:pPr>
      <w:rPr>
        <w:rFonts w:ascii="Wingdings 3" w:hAnsi="Wingdings 3" w:hint="default"/>
      </w:rPr>
    </w:lvl>
    <w:lvl w:ilvl="2" w:tplc="F5600E54" w:tentative="1">
      <w:start w:val="1"/>
      <w:numFmt w:val="bullet"/>
      <w:lvlText w:val=""/>
      <w:lvlJc w:val="left"/>
      <w:pPr>
        <w:tabs>
          <w:tab w:val="num" w:pos="2160"/>
        </w:tabs>
        <w:ind w:left="2160" w:hanging="360"/>
      </w:pPr>
      <w:rPr>
        <w:rFonts w:ascii="Wingdings 3" w:hAnsi="Wingdings 3" w:hint="default"/>
      </w:rPr>
    </w:lvl>
    <w:lvl w:ilvl="3" w:tplc="FC9A5EA0" w:tentative="1">
      <w:start w:val="1"/>
      <w:numFmt w:val="bullet"/>
      <w:lvlText w:val=""/>
      <w:lvlJc w:val="left"/>
      <w:pPr>
        <w:tabs>
          <w:tab w:val="num" w:pos="2880"/>
        </w:tabs>
        <w:ind w:left="2880" w:hanging="360"/>
      </w:pPr>
      <w:rPr>
        <w:rFonts w:ascii="Wingdings 3" w:hAnsi="Wingdings 3" w:hint="default"/>
      </w:rPr>
    </w:lvl>
    <w:lvl w:ilvl="4" w:tplc="7360BE88" w:tentative="1">
      <w:start w:val="1"/>
      <w:numFmt w:val="bullet"/>
      <w:lvlText w:val=""/>
      <w:lvlJc w:val="left"/>
      <w:pPr>
        <w:tabs>
          <w:tab w:val="num" w:pos="3600"/>
        </w:tabs>
        <w:ind w:left="3600" w:hanging="360"/>
      </w:pPr>
      <w:rPr>
        <w:rFonts w:ascii="Wingdings 3" w:hAnsi="Wingdings 3" w:hint="default"/>
      </w:rPr>
    </w:lvl>
    <w:lvl w:ilvl="5" w:tplc="DAAA3960" w:tentative="1">
      <w:start w:val="1"/>
      <w:numFmt w:val="bullet"/>
      <w:lvlText w:val=""/>
      <w:lvlJc w:val="left"/>
      <w:pPr>
        <w:tabs>
          <w:tab w:val="num" w:pos="4320"/>
        </w:tabs>
        <w:ind w:left="4320" w:hanging="360"/>
      </w:pPr>
      <w:rPr>
        <w:rFonts w:ascii="Wingdings 3" w:hAnsi="Wingdings 3" w:hint="default"/>
      </w:rPr>
    </w:lvl>
    <w:lvl w:ilvl="6" w:tplc="6534F468" w:tentative="1">
      <w:start w:val="1"/>
      <w:numFmt w:val="bullet"/>
      <w:lvlText w:val=""/>
      <w:lvlJc w:val="left"/>
      <w:pPr>
        <w:tabs>
          <w:tab w:val="num" w:pos="5040"/>
        </w:tabs>
        <w:ind w:left="5040" w:hanging="360"/>
      </w:pPr>
      <w:rPr>
        <w:rFonts w:ascii="Wingdings 3" w:hAnsi="Wingdings 3" w:hint="default"/>
      </w:rPr>
    </w:lvl>
    <w:lvl w:ilvl="7" w:tplc="CE9A66B0" w:tentative="1">
      <w:start w:val="1"/>
      <w:numFmt w:val="bullet"/>
      <w:lvlText w:val=""/>
      <w:lvlJc w:val="left"/>
      <w:pPr>
        <w:tabs>
          <w:tab w:val="num" w:pos="5760"/>
        </w:tabs>
        <w:ind w:left="5760" w:hanging="360"/>
      </w:pPr>
      <w:rPr>
        <w:rFonts w:ascii="Wingdings 3" w:hAnsi="Wingdings 3" w:hint="default"/>
      </w:rPr>
    </w:lvl>
    <w:lvl w:ilvl="8" w:tplc="084A6776"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111E5D8C"/>
    <w:multiLevelType w:val="hybridMultilevel"/>
    <w:tmpl w:val="382C7AAA"/>
    <w:lvl w:ilvl="0" w:tplc="04050009">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2B8B23B0"/>
    <w:multiLevelType w:val="hybridMultilevel"/>
    <w:tmpl w:val="95CA022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BC31288"/>
    <w:multiLevelType w:val="hybridMultilevel"/>
    <w:tmpl w:val="2948F684"/>
    <w:lvl w:ilvl="0" w:tplc="0405000F">
      <w:start w:val="1"/>
      <w:numFmt w:val="decimal"/>
      <w:lvlText w:val="%1."/>
      <w:lvlJc w:val="left"/>
      <w:pPr>
        <w:tabs>
          <w:tab w:val="num" w:pos="720"/>
        </w:tabs>
        <w:ind w:left="720" w:hanging="360"/>
      </w:pPr>
      <w:rPr>
        <w:rFonts w:hint="default"/>
      </w:rPr>
    </w:lvl>
    <w:lvl w:ilvl="1" w:tplc="17B288C8" w:tentative="1">
      <w:start w:val="1"/>
      <w:numFmt w:val="bullet"/>
      <w:lvlText w:val=""/>
      <w:lvlJc w:val="left"/>
      <w:pPr>
        <w:tabs>
          <w:tab w:val="num" w:pos="1440"/>
        </w:tabs>
        <w:ind w:left="1440" w:hanging="360"/>
      </w:pPr>
      <w:rPr>
        <w:rFonts w:ascii="Wingdings 3" w:hAnsi="Wingdings 3" w:hint="default"/>
      </w:rPr>
    </w:lvl>
    <w:lvl w:ilvl="2" w:tplc="FF446A12" w:tentative="1">
      <w:start w:val="1"/>
      <w:numFmt w:val="bullet"/>
      <w:lvlText w:val=""/>
      <w:lvlJc w:val="left"/>
      <w:pPr>
        <w:tabs>
          <w:tab w:val="num" w:pos="2160"/>
        </w:tabs>
        <w:ind w:left="2160" w:hanging="360"/>
      </w:pPr>
      <w:rPr>
        <w:rFonts w:ascii="Wingdings 3" w:hAnsi="Wingdings 3" w:hint="default"/>
      </w:rPr>
    </w:lvl>
    <w:lvl w:ilvl="3" w:tplc="8BDAA578" w:tentative="1">
      <w:start w:val="1"/>
      <w:numFmt w:val="bullet"/>
      <w:lvlText w:val=""/>
      <w:lvlJc w:val="left"/>
      <w:pPr>
        <w:tabs>
          <w:tab w:val="num" w:pos="2880"/>
        </w:tabs>
        <w:ind w:left="2880" w:hanging="360"/>
      </w:pPr>
      <w:rPr>
        <w:rFonts w:ascii="Wingdings 3" w:hAnsi="Wingdings 3" w:hint="default"/>
      </w:rPr>
    </w:lvl>
    <w:lvl w:ilvl="4" w:tplc="7722B976" w:tentative="1">
      <w:start w:val="1"/>
      <w:numFmt w:val="bullet"/>
      <w:lvlText w:val=""/>
      <w:lvlJc w:val="left"/>
      <w:pPr>
        <w:tabs>
          <w:tab w:val="num" w:pos="3600"/>
        </w:tabs>
        <w:ind w:left="3600" w:hanging="360"/>
      </w:pPr>
      <w:rPr>
        <w:rFonts w:ascii="Wingdings 3" w:hAnsi="Wingdings 3" w:hint="default"/>
      </w:rPr>
    </w:lvl>
    <w:lvl w:ilvl="5" w:tplc="64CC80F6" w:tentative="1">
      <w:start w:val="1"/>
      <w:numFmt w:val="bullet"/>
      <w:lvlText w:val=""/>
      <w:lvlJc w:val="left"/>
      <w:pPr>
        <w:tabs>
          <w:tab w:val="num" w:pos="4320"/>
        </w:tabs>
        <w:ind w:left="4320" w:hanging="360"/>
      </w:pPr>
      <w:rPr>
        <w:rFonts w:ascii="Wingdings 3" w:hAnsi="Wingdings 3" w:hint="default"/>
      </w:rPr>
    </w:lvl>
    <w:lvl w:ilvl="6" w:tplc="BAD659B2" w:tentative="1">
      <w:start w:val="1"/>
      <w:numFmt w:val="bullet"/>
      <w:lvlText w:val=""/>
      <w:lvlJc w:val="left"/>
      <w:pPr>
        <w:tabs>
          <w:tab w:val="num" w:pos="5040"/>
        </w:tabs>
        <w:ind w:left="5040" w:hanging="360"/>
      </w:pPr>
      <w:rPr>
        <w:rFonts w:ascii="Wingdings 3" w:hAnsi="Wingdings 3" w:hint="default"/>
      </w:rPr>
    </w:lvl>
    <w:lvl w:ilvl="7" w:tplc="805CDAEC" w:tentative="1">
      <w:start w:val="1"/>
      <w:numFmt w:val="bullet"/>
      <w:lvlText w:val=""/>
      <w:lvlJc w:val="left"/>
      <w:pPr>
        <w:tabs>
          <w:tab w:val="num" w:pos="5760"/>
        </w:tabs>
        <w:ind w:left="5760" w:hanging="360"/>
      </w:pPr>
      <w:rPr>
        <w:rFonts w:ascii="Wingdings 3" w:hAnsi="Wingdings 3" w:hint="default"/>
      </w:rPr>
    </w:lvl>
    <w:lvl w:ilvl="8" w:tplc="07AE0160"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353874EA"/>
    <w:multiLevelType w:val="hybridMultilevel"/>
    <w:tmpl w:val="EFB8EDA6"/>
    <w:lvl w:ilvl="0" w:tplc="A1364500">
      <w:start w:val="1"/>
      <w:numFmt w:val="bullet"/>
      <w:lvlText w:val=""/>
      <w:lvlJc w:val="left"/>
      <w:pPr>
        <w:tabs>
          <w:tab w:val="num" w:pos="720"/>
        </w:tabs>
        <w:ind w:left="720" w:hanging="360"/>
      </w:pPr>
      <w:rPr>
        <w:rFonts w:ascii="Wingdings" w:hAnsi="Wingdings" w:hint="default"/>
      </w:rPr>
    </w:lvl>
    <w:lvl w:ilvl="1" w:tplc="8398DEFC">
      <w:start w:val="904"/>
      <w:numFmt w:val="bullet"/>
      <w:lvlText w:val=""/>
      <w:lvlJc w:val="left"/>
      <w:pPr>
        <w:tabs>
          <w:tab w:val="num" w:pos="1440"/>
        </w:tabs>
        <w:ind w:left="1440" w:hanging="360"/>
      </w:pPr>
      <w:rPr>
        <w:rFonts w:ascii="Wingdings 3" w:hAnsi="Wingdings 3" w:hint="default"/>
      </w:rPr>
    </w:lvl>
    <w:lvl w:ilvl="2" w:tplc="F9E66F04" w:tentative="1">
      <w:start w:val="1"/>
      <w:numFmt w:val="bullet"/>
      <w:lvlText w:val=""/>
      <w:lvlJc w:val="left"/>
      <w:pPr>
        <w:tabs>
          <w:tab w:val="num" w:pos="2160"/>
        </w:tabs>
        <w:ind w:left="2160" w:hanging="360"/>
      </w:pPr>
      <w:rPr>
        <w:rFonts w:ascii="Wingdings" w:hAnsi="Wingdings" w:hint="default"/>
      </w:rPr>
    </w:lvl>
    <w:lvl w:ilvl="3" w:tplc="4E720138" w:tentative="1">
      <w:start w:val="1"/>
      <w:numFmt w:val="bullet"/>
      <w:lvlText w:val=""/>
      <w:lvlJc w:val="left"/>
      <w:pPr>
        <w:tabs>
          <w:tab w:val="num" w:pos="2880"/>
        </w:tabs>
        <w:ind w:left="2880" w:hanging="360"/>
      </w:pPr>
      <w:rPr>
        <w:rFonts w:ascii="Wingdings" w:hAnsi="Wingdings" w:hint="default"/>
      </w:rPr>
    </w:lvl>
    <w:lvl w:ilvl="4" w:tplc="363855D4" w:tentative="1">
      <w:start w:val="1"/>
      <w:numFmt w:val="bullet"/>
      <w:lvlText w:val=""/>
      <w:lvlJc w:val="left"/>
      <w:pPr>
        <w:tabs>
          <w:tab w:val="num" w:pos="3600"/>
        </w:tabs>
        <w:ind w:left="3600" w:hanging="360"/>
      </w:pPr>
      <w:rPr>
        <w:rFonts w:ascii="Wingdings" w:hAnsi="Wingdings" w:hint="default"/>
      </w:rPr>
    </w:lvl>
    <w:lvl w:ilvl="5" w:tplc="421C76FC" w:tentative="1">
      <w:start w:val="1"/>
      <w:numFmt w:val="bullet"/>
      <w:lvlText w:val=""/>
      <w:lvlJc w:val="left"/>
      <w:pPr>
        <w:tabs>
          <w:tab w:val="num" w:pos="4320"/>
        </w:tabs>
        <w:ind w:left="4320" w:hanging="360"/>
      </w:pPr>
      <w:rPr>
        <w:rFonts w:ascii="Wingdings" w:hAnsi="Wingdings" w:hint="default"/>
      </w:rPr>
    </w:lvl>
    <w:lvl w:ilvl="6" w:tplc="2B50E988" w:tentative="1">
      <w:start w:val="1"/>
      <w:numFmt w:val="bullet"/>
      <w:lvlText w:val=""/>
      <w:lvlJc w:val="left"/>
      <w:pPr>
        <w:tabs>
          <w:tab w:val="num" w:pos="5040"/>
        </w:tabs>
        <w:ind w:left="5040" w:hanging="360"/>
      </w:pPr>
      <w:rPr>
        <w:rFonts w:ascii="Wingdings" w:hAnsi="Wingdings" w:hint="default"/>
      </w:rPr>
    </w:lvl>
    <w:lvl w:ilvl="7" w:tplc="ACF60304" w:tentative="1">
      <w:start w:val="1"/>
      <w:numFmt w:val="bullet"/>
      <w:lvlText w:val=""/>
      <w:lvlJc w:val="left"/>
      <w:pPr>
        <w:tabs>
          <w:tab w:val="num" w:pos="5760"/>
        </w:tabs>
        <w:ind w:left="5760" w:hanging="360"/>
      </w:pPr>
      <w:rPr>
        <w:rFonts w:ascii="Wingdings" w:hAnsi="Wingdings" w:hint="default"/>
      </w:rPr>
    </w:lvl>
    <w:lvl w:ilvl="8" w:tplc="E968E9E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EA0484"/>
    <w:multiLevelType w:val="hybridMultilevel"/>
    <w:tmpl w:val="B510BB0E"/>
    <w:lvl w:ilvl="0" w:tplc="04050009">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36657ACC"/>
    <w:multiLevelType w:val="hybridMultilevel"/>
    <w:tmpl w:val="7FB0EC0A"/>
    <w:lvl w:ilvl="0" w:tplc="E1B0A35A">
      <w:start w:val="1"/>
      <w:numFmt w:val="bullet"/>
      <w:lvlText w:val=""/>
      <w:lvlJc w:val="left"/>
      <w:pPr>
        <w:tabs>
          <w:tab w:val="num" w:pos="720"/>
        </w:tabs>
        <w:ind w:left="720" w:hanging="360"/>
      </w:pPr>
      <w:rPr>
        <w:rFonts w:ascii="Wingdings" w:hAnsi="Wingdings" w:hint="default"/>
      </w:rPr>
    </w:lvl>
    <w:lvl w:ilvl="1" w:tplc="436CD858">
      <w:start w:val="926"/>
      <w:numFmt w:val="bullet"/>
      <w:lvlText w:val=""/>
      <w:lvlJc w:val="left"/>
      <w:pPr>
        <w:tabs>
          <w:tab w:val="num" w:pos="1440"/>
        </w:tabs>
        <w:ind w:left="1440" w:hanging="360"/>
      </w:pPr>
      <w:rPr>
        <w:rFonts w:ascii="Wingdings 3" w:hAnsi="Wingdings 3" w:hint="default"/>
      </w:rPr>
    </w:lvl>
    <w:lvl w:ilvl="2" w:tplc="2064FCD2" w:tentative="1">
      <w:start w:val="1"/>
      <w:numFmt w:val="bullet"/>
      <w:lvlText w:val=""/>
      <w:lvlJc w:val="left"/>
      <w:pPr>
        <w:tabs>
          <w:tab w:val="num" w:pos="2160"/>
        </w:tabs>
        <w:ind w:left="2160" w:hanging="360"/>
      </w:pPr>
      <w:rPr>
        <w:rFonts w:ascii="Wingdings" w:hAnsi="Wingdings" w:hint="default"/>
      </w:rPr>
    </w:lvl>
    <w:lvl w:ilvl="3" w:tplc="CED8F28E" w:tentative="1">
      <w:start w:val="1"/>
      <w:numFmt w:val="bullet"/>
      <w:lvlText w:val=""/>
      <w:lvlJc w:val="left"/>
      <w:pPr>
        <w:tabs>
          <w:tab w:val="num" w:pos="2880"/>
        </w:tabs>
        <w:ind w:left="2880" w:hanging="360"/>
      </w:pPr>
      <w:rPr>
        <w:rFonts w:ascii="Wingdings" w:hAnsi="Wingdings" w:hint="default"/>
      </w:rPr>
    </w:lvl>
    <w:lvl w:ilvl="4" w:tplc="DFCC506A" w:tentative="1">
      <w:start w:val="1"/>
      <w:numFmt w:val="bullet"/>
      <w:lvlText w:val=""/>
      <w:lvlJc w:val="left"/>
      <w:pPr>
        <w:tabs>
          <w:tab w:val="num" w:pos="3600"/>
        </w:tabs>
        <w:ind w:left="3600" w:hanging="360"/>
      </w:pPr>
      <w:rPr>
        <w:rFonts w:ascii="Wingdings" w:hAnsi="Wingdings" w:hint="default"/>
      </w:rPr>
    </w:lvl>
    <w:lvl w:ilvl="5" w:tplc="8B90A2F0" w:tentative="1">
      <w:start w:val="1"/>
      <w:numFmt w:val="bullet"/>
      <w:lvlText w:val=""/>
      <w:lvlJc w:val="left"/>
      <w:pPr>
        <w:tabs>
          <w:tab w:val="num" w:pos="4320"/>
        </w:tabs>
        <w:ind w:left="4320" w:hanging="360"/>
      </w:pPr>
      <w:rPr>
        <w:rFonts w:ascii="Wingdings" w:hAnsi="Wingdings" w:hint="default"/>
      </w:rPr>
    </w:lvl>
    <w:lvl w:ilvl="6" w:tplc="389044DC" w:tentative="1">
      <w:start w:val="1"/>
      <w:numFmt w:val="bullet"/>
      <w:lvlText w:val=""/>
      <w:lvlJc w:val="left"/>
      <w:pPr>
        <w:tabs>
          <w:tab w:val="num" w:pos="5040"/>
        </w:tabs>
        <w:ind w:left="5040" w:hanging="360"/>
      </w:pPr>
      <w:rPr>
        <w:rFonts w:ascii="Wingdings" w:hAnsi="Wingdings" w:hint="default"/>
      </w:rPr>
    </w:lvl>
    <w:lvl w:ilvl="7" w:tplc="40CE76DE" w:tentative="1">
      <w:start w:val="1"/>
      <w:numFmt w:val="bullet"/>
      <w:lvlText w:val=""/>
      <w:lvlJc w:val="left"/>
      <w:pPr>
        <w:tabs>
          <w:tab w:val="num" w:pos="5760"/>
        </w:tabs>
        <w:ind w:left="5760" w:hanging="360"/>
      </w:pPr>
      <w:rPr>
        <w:rFonts w:ascii="Wingdings" w:hAnsi="Wingdings" w:hint="default"/>
      </w:rPr>
    </w:lvl>
    <w:lvl w:ilvl="8" w:tplc="AB2A0AB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6D5364"/>
    <w:multiLevelType w:val="hybridMultilevel"/>
    <w:tmpl w:val="C686AA06"/>
    <w:lvl w:ilvl="0" w:tplc="5874E1BC">
      <w:start w:val="1"/>
      <w:numFmt w:val="bullet"/>
      <w:lvlText w:val=""/>
      <w:lvlJc w:val="left"/>
      <w:pPr>
        <w:tabs>
          <w:tab w:val="num" w:pos="720"/>
        </w:tabs>
        <w:ind w:left="720" w:hanging="360"/>
      </w:pPr>
      <w:rPr>
        <w:rFonts w:ascii="Wingdings" w:hAnsi="Wingdings" w:hint="default"/>
      </w:rPr>
    </w:lvl>
    <w:lvl w:ilvl="1" w:tplc="A8B47DD6">
      <w:start w:val="926"/>
      <w:numFmt w:val="bullet"/>
      <w:lvlText w:val=""/>
      <w:lvlJc w:val="left"/>
      <w:pPr>
        <w:tabs>
          <w:tab w:val="num" w:pos="1440"/>
        </w:tabs>
        <w:ind w:left="1440" w:hanging="360"/>
      </w:pPr>
      <w:rPr>
        <w:rFonts w:ascii="Wingdings" w:hAnsi="Wingdings" w:hint="default"/>
      </w:rPr>
    </w:lvl>
    <w:lvl w:ilvl="2" w:tplc="DA163FF6" w:tentative="1">
      <w:start w:val="1"/>
      <w:numFmt w:val="bullet"/>
      <w:lvlText w:val=""/>
      <w:lvlJc w:val="left"/>
      <w:pPr>
        <w:tabs>
          <w:tab w:val="num" w:pos="2160"/>
        </w:tabs>
        <w:ind w:left="2160" w:hanging="360"/>
      </w:pPr>
      <w:rPr>
        <w:rFonts w:ascii="Wingdings" w:hAnsi="Wingdings" w:hint="default"/>
      </w:rPr>
    </w:lvl>
    <w:lvl w:ilvl="3" w:tplc="21983F46" w:tentative="1">
      <w:start w:val="1"/>
      <w:numFmt w:val="bullet"/>
      <w:lvlText w:val=""/>
      <w:lvlJc w:val="left"/>
      <w:pPr>
        <w:tabs>
          <w:tab w:val="num" w:pos="2880"/>
        </w:tabs>
        <w:ind w:left="2880" w:hanging="360"/>
      </w:pPr>
      <w:rPr>
        <w:rFonts w:ascii="Wingdings" w:hAnsi="Wingdings" w:hint="default"/>
      </w:rPr>
    </w:lvl>
    <w:lvl w:ilvl="4" w:tplc="D53E5048" w:tentative="1">
      <w:start w:val="1"/>
      <w:numFmt w:val="bullet"/>
      <w:lvlText w:val=""/>
      <w:lvlJc w:val="left"/>
      <w:pPr>
        <w:tabs>
          <w:tab w:val="num" w:pos="3600"/>
        </w:tabs>
        <w:ind w:left="3600" w:hanging="360"/>
      </w:pPr>
      <w:rPr>
        <w:rFonts w:ascii="Wingdings" w:hAnsi="Wingdings" w:hint="default"/>
      </w:rPr>
    </w:lvl>
    <w:lvl w:ilvl="5" w:tplc="3B28B8BC" w:tentative="1">
      <w:start w:val="1"/>
      <w:numFmt w:val="bullet"/>
      <w:lvlText w:val=""/>
      <w:lvlJc w:val="left"/>
      <w:pPr>
        <w:tabs>
          <w:tab w:val="num" w:pos="4320"/>
        </w:tabs>
        <w:ind w:left="4320" w:hanging="360"/>
      </w:pPr>
      <w:rPr>
        <w:rFonts w:ascii="Wingdings" w:hAnsi="Wingdings" w:hint="default"/>
      </w:rPr>
    </w:lvl>
    <w:lvl w:ilvl="6" w:tplc="A976C2DE" w:tentative="1">
      <w:start w:val="1"/>
      <w:numFmt w:val="bullet"/>
      <w:lvlText w:val=""/>
      <w:lvlJc w:val="left"/>
      <w:pPr>
        <w:tabs>
          <w:tab w:val="num" w:pos="5040"/>
        </w:tabs>
        <w:ind w:left="5040" w:hanging="360"/>
      </w:pPr>
      <w:rPr>
        <w:rFonts w:ascii="Wingdings" w:hAnsi="Wingdings" w:hint="default"/>
      </w:rPr>
    </w:lvl>
    <w:lvl w:ilvl="7" w:tplc="72D854C8" w:tentative="1">
      <w:start w:val="1"/>
      <w:numFmt w:val="bullet"/>
      <w:lvlText w:val=""/>
      <w:lvlJc w:val="left"/>
      <w:pPr>
        <w:tabs>
          <w:tab w:val="num" w:pos="5760"/>
        </w:tabs>
        <w:ind w:left="5760" w:hanging="360"/>
      </w:pPr>
      <w:rPr>
        <w:rFonts w:ascii="Wingdings" w:hAnsi="Wingdings" w:hint="default"/>
      </w:rPr>
    </w:lvl>
    <w:lvl w:ilvl="8" w:tplc="CE4CE38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7768CF"/>
    <w:multiLevelType w:val="hybridMultilevel"/>
    <w:tmpl w:val="168429B6"/>
    <w:lvl w:ilvl="0" w:tplc="04050009">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75C00E02"/>
    <w:multiLevelType w:val="hybridMultilevel"/>
    <w:tmpl w:val="3CD2B836"/>
    <w:lvl w:ilvl="0" w:tplc="99584E5E">
      <w:start w:val="1"/>
      <w:numFmt w:val="bullet"/>
      <w:lvlText w:val=""/>
      <w:lvlJc w:val="left"/>
      <w:pPr>
        <w:tabs>
          <w:tab w:val="num" w:pos="720"/>
        </w:tabs>
        <w:ind w:left="720" w:hanging="360"/>
      </w:pPr>
      <w:rPr>
        <w:rFonts w:ascii="Wingdings 3" w:hAnsi="Wingdings 3" w:hint="default"/>
      </w:rPr>
    </w:lvl>
    <w:lvl w:ilvl="1" w:tplc="EF9864D4">
      <w:start w:val="926"/>
      <w:numFmt w:val="bullet"/>
      <w:lvlText w:val=""/>
      <w:lvlJc w:val="left"/>
      <w:pPr>
        <w:tabs>
          <w:tab w:val="num" w:pos="1440"/>
        </w:tabs>
        <w:ind w:left="1440" w:hanging="360"/>
      </w:pPr>
      <w:rPr>
        <w:rFonts w:ascii="Wingdings 3" w:hAnsi="Wingdings 3" w:hint="default"/>
      </w:rPr>
    </w:lvl>
    <w:lvl w:ilvl="2" w:tplc="8264D704" w:tentative="1">
      <w:start w:val="1"/>
      <w:numFmt w:val="bullet"/>
      <w:lvlText w:val=""/>
      <w:lvlJc w:val="left"/>
      <w:pPr>
        <w:tabs>
          <w:tab w:val="num" w:pos="2160"/>
        </w:tabs>
        <w:ind w:left="2160" w:hanging="360"/>
      </w:pPr>
      <w:rPr>
        <w:rFonts w:ascii="Wingdings 3" w:hAnsi="Wingdings 3" w:hint="default"/>
      </w:rPr>
    </w:lvl>
    <w:lvl w:ilvl="3" w:tplc="37E0D538" w:tentative="1">
      <w:start w:val="1"/>
      <w:numFmt w:val="bullet"/>
      <w:lvlText w:val=""/>
      <w:lvlJc w:val="left"/>
      <w:pPr>
        <w:tabs>
          <w:tab w:val="num" w:pos="2880"/>
        </w:tabs>
        <w:ind w:left="2880" w:hanging="360"/>
      </w:pPr>
      <w:rPr>
        <w:rFonts w:ascii="Wingdings 3" w:hAnsi="Wingdings 3" w:hint="default"/>
      </w:rPr>
    </w:lvl>
    <w:lvl w:ilvl="4" w:tplc="5C8E113C" w:tentative="1">
      <w:start w:val="1"/>
      <w:numFmt w:val="bullet"/>
      <w:lvlText w:val=""/>
      <w:lvlJc w:val="left"/>
      <w:pPr>
        <w:tabs>
          <w:tab w:val="num" w:pos="3600"/>
        </w:tabs>
        <w:ind w:left="3600" w:hanging="360"/>
      </w:pPr>
      <w:rPr>
        <w:rFonts w:ascii="Wingdings 3" w:hAnsi="Wingdings 3" w:hint="default"/>
      </w:rPr>
    </w:lvl>
    <w:lvl w:ilvl="5" w:tplc="ABCC55A6" w:tentative="1">
      <w:start w:val="1"/>
      <w:numFmt w:val="bullet"/>
      <w:lvlText w:val=""/>
      <w:lvlJc w:val="left"/>
      <w:pPr>
        <w:tabs>
          <w:tab w:val="num" w:pos="4320"/>
        </w:tabs>
        <w:ind w:left="4320" w:hanging="360"/>
      </w:pPr>
      <w:rPr>
        <w:rFonts w:ascii="Wingdings 3" w:hAnsi="Wingdings 3" w:hint="default"/>
      </w:rPr>
    </w:lvl>
    <w:lvl w:ilvl="6" w:tplc="4E941862" w:tentative="1">
      <w:start w:val="1"/>
      <w:numFmt w:val="bullet"/>
      <w:lvlText w:val=""/>
      <w:lvlJc w:val="left"/>
      <w:pPr>
        <w:tabs>
          <w:tab w:val="num" w:pos="5040"/>
        </w:tabs>
        <w:ind w:left="5040" w:hanging="360"/>
      </w:pPr>
      <w:rPr>
        <w:rFonts w:ascii="Wingdings 3" w:hAnsi="Wingdings 3" w:hint="default"/>
      </w:rPr>
    </w:lvl>
    <w:lvl w:ilvl="7" w:tplc="D3DAEC48" w:tentative="1">
      <w:start w:val="1"/>
      <w:numFmt w:val="bullet"/>
      <w:lvlText w:val=""/>
      <w:lvlJc w:val="left"/>
      <w:pPr>
        <w:tabs>
          <w:tab w:val="num" w:pos="5760"/>
        </w:tabs>
        <w:ind w:left="5760" w:hanging="360"/>
      </w:pPr>
      <w:rPr>
        <w:rFonts w:ascii="Wingdings 3" w:hAnsi="Wingdings 3" w:hint="default"/>
      </w:rPr>
    </w:lvl>
    <w:lvl w:ilvl="8" w:tplc="11CE4D78" w:tentative="1">
      <w:start w:val="1"/>
      <w:numFmt w:val="bullet"/>
      <w:lvlText w:val=""/>
      <w:lvlJc w:val="left"/>
      <w:pPr>
        <w:tabs>
          <w:tab w:val="num" w:pos="6480"/>
        </w:tabs>
        <w:ind w:left="6480" w:hanging="360"/>
      </w:pPr>
      <w:rPr>
        <w:rFonts w:ascii="Wingdings 3" w:hAnsi="Wingdings 3" w:hint="default"/>
      </w:rPr>
    </w:lvl>
  </w:abstractNum>
  <w:num w:numId="1">
    <w:abstractNumId w:val="0"/>
  </w:num>
  <w:num w:numId="2">
    <w:abstractNumId w:val="2"/>
  </w:num>
  <w:num w:numId="3">
    <w:abstractNumId w:val="1"/>
  </w:num>
  <w:num w:numId="4">
    <w:abstractNumId w:val="5"/>
  </w:num>
  <w:num w:numId="5">
    <w:abstractNumId w:val="8"/>
  </w:num>
  <w:num w:numId="6">
    <w:abstractNumId w:val="4"/>
  </w:num>
  <w:num w:numId="7">
    <w:abstractNumId w:val="9"/>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72190"/>
    <w:rsid w:val="000E3A24"/>
    <w:rsid w:val="00133A65"/>
    <w:rsid w:val="001B1F13"/>
    <w:rsid w:val="00245CEA"/>
    <w:rsid w:val="00263651"/>
    <w:rsid w:val="003261BE"/>
    <w:rsid w:val="004925BD"/>
    <w:rsid w:val="005D3E48"/>
    <w:rsid w:val="006A57E1"/>
    <w:rsid w:val="006D00BD"/>
    <w:rsid w:val="006D0140"/>
    <w:rsid w:val="007A38FF"/>
    <w:rsid w:val="00857C58"/>
    <w:rsid w:val="008A3E6A"/>
    <w:rsid w:val="0097155F"/>
    <w:rsid w:val="00A340BC"/>
    <w:rsid w:val="00BA7487"/>
    <w:rsid w:val="00BF4B6F"/>
    <w:rsid w:val="00D72190"/>
    <w:rsid w:val="00EB7AAD"/>
    <w:rsid w:val="00F034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64D8F"/>
  <w15:docId w15:val="{B7AD6F0A-A86F-4E4B-A9EF-C66A419B2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F4B6F"/>
    <w:pPr>
      <w:spacing w:after="240" w:line="240" w:lineRule="auto"/>
      <w:ind w:firstLine="567"/>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925BD"/>
    <w:pPr>
      <w:autoSpaceDE w:val="0"/>
      <w:autoSpaceDN w:val="0"/>
      <w:adjustRightInd w:val="0"/>
      <w:spacing w:after="0" w:line="240" w:lineRule="auto"/>
    </w:pPr>
    <w:rPr>
      <w:rFonts w:ascii="Cambria" w:hAnsi="Cambria" w:cs="Cambria"/>
      <w:color w:val="000000"/>
      <w:sz w:val="24"/>
      <w:szCs w:val="24"/>
    </w:rPr>
  </w:style>
  <w:style w:type="paragraph" w:styleId="Odstavecseseznamem">
    <w:name w:val="List Paragraph"/>
    <w:basedOn w:val="Normln"/>
    <w:uiPriority w:val="34"/>
    <w:qFormat/>
    <w:rsid w:val="00263651"/>
    <w:pPr>
      <w:ind w:left="720"/>
      <w:contextualSpacing/>
    </w:pPr>
  </w:style>
  <w:style w:type="paragraph" w:styleId="Zhlav">
    <w:name w:val="header"/>
    <w:basedOn w:val="Normln"/>
    <w:link w:val="ZhlavChar"/>
    <w:uiPriority w:val="99"/>
    <w:unhideWhenUsed/>
    <w:rsid w:val="006D00BD"/>
    <w:pPr>
      <w:tabs>
        <w:tab w:val="center" w:pos="4536"/>
        <w:tab w:val="right" w:pos="9072"/>
      </w:tabs>
      <w:spacing w:after="0"/>
    </w:pPr>
  </w:style>
  <w:style w:type="character" w:customStyle="1" w:styleId="ZhlavChar">
    <w:name w:val="Záhlaví Char"/>
    <w:basedOn w:val="Standardnpsmoodstavce"/>
    <w:link w:val="Zhlav"/>
    <w:uiPriority w:val="99"/>
    <w:rsid w:val="006D00BD"/>
    <w:rPr>
      <w:rFonts w:ascii="Times New Roman" w:hAnsi="Times New Roman"/>
      <w:sz w:val="24"/>
    </w:rPr>
  </w:style>
  <w:style w:type="paragraph" w:styleId="Zpat">
    <w:name w:val="footer"/>
    <w:basedOn w:val="Normln"/>
    <w:link w:val="ZpatChar"/>
    <w:uiPriority w:val="99"/>
    <w:unhideWhenUsed/>
    <w:rsid w:val="006D00BD"/>
    <w:pPr>
      <w:tabs>
        <w:tab w:val="center" w:pos="4536"/>
        <w:tab w:val="right" w:pos="9072"/>
      </w:tabs>
      <w:spacing w:after="0"/>
    </w:pPr>
  </w:style>
  <w:style w:type="character" w:customStyle="1" w:styleId="ZpatChar">
    <w:name w:val="Zápatí Char"/>
    <w:basedOn w:val="Standardnpsmoodstavce"/>
    <w:link w:val="Zpat"/>
    <w:uiPriority w:val="99"/>
    <w:rsid w:val="006D00B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6855">
      <w:bodyDiv w:val="1"/>
      <w:marLeft w:val="0"/>
      <w:marRight w:val="0"/>
      <w:marTop w:val="0"/>
      <w:marBottom w:val="0"/>
      <w:divBdr>
        <w:top w:val="none" w:sz="0" w:space="0" w:color="auto"/>
        <w:left w:val="none" w:sz="0" w:space="0" w:color="auto"/>
        <w:bottom w:val="none" w:sz="0" w:space="0" w:color="auto"/>
        <w:right w:val="none" w:sz="0" w:space="0" w:color="auto"/>
      </w:divBdr>
      <w:divsChild>
        <w:div w:id="1052996606">
          <w:marLeft w:val="547"/>
          <w:marRight w:val="0"/>
          <w:marTop w:val="200"/>
          <w:marBottom w:val="0"/>
          <w:divBdr>
            <w:top w:val="none" w:sz="0" w:space="0" w:color="auto"/>
            <w:left w:val="none" w:sz="0" w:space="0" w:color="auto"/>
            <w:bottom w:val="none" w:sz="0" w:space="0" w:color="auto"/>
            <w:right w:val="none" w:sz="0" w:space="0" w:color="auto"/>
          </w:divBdr>
        </w:div>
        <w:div w:id="131680597">
          <w:marLeft w:val="1166"/>
          <w:marRight w:val="0"/>
          <w:marTop w:val="200"/>
          <w:marBottom w:val="0"/>
          <w:divBdr>
            <w:top w:val="none" w:sz="0" w:space="0" w:color="auto"/>
            <w:left w:val="none" w:sz="0" w:space="0" w:color="auto"/>
            <w:bottom w:val="none" w:sz="0" w:space="0" w:color="auto"/>
            <w:right w:val="none" w:sz="0" w:space="0" w:color="auto"/>
          </w:divBdr>
        </w:div>
        <w:div w:id="1484204219">
          <w:marLeft w:val="1166"/>
          <w:marRight w:val="0"/>
          <w:marTop w:val="200"/>
          <w:marBottom w:val="0"/>
          <w:divBdr>
            <w:top w:val="none" w:sz="0" w:space="0" w:color="auto"/>
            <w:left w:val="none" w:sz="0" w:space="0" w:color="auto"/>
            <w:bottom w:val="none" w:sz="0" w:space="0" w:color="auto"/>
            <w:right w:val="none" w:sz="0" w:space="0" w:color="auto"/>
          </w:divBdr>
        </w:div>
        <w:div w:id="784693597">
          <w:marLeft w:val="1166"/>
          <w:marRight w:val="0"/>
          <w:marTop w:val="200"/>
          <w:marBottom w:val="0"/>
          <w:divBdr>
            <w:top w:val="none" w:sz="0" w:space="0" w:color="auto"/>
            <w:left w:val="none" w:sz="0" w:space="0" w:color="auto"/>
            <w:bottom w:val="none" w:sz="0" w:space="0" w:color="auto"/>
            <w:right w:val="none" w:sz="0" w:space="0" w:color="auto"/>
          </w:divBdr>
        </w:div>
        <w:div w:id="142360136">
          <w:marLeft w:val="1166"/>
          <w:marRight w:val="0"/>
          <w:marTop w:val="200"/>
          <w:marBottom w:val="0"/>
          <w:divBdr>
            <w:top w:val="none" w:sz="0" w:space="0" w:color="auto"/>
            <w:left w:val="none" w:sz="0" w:space="0" w:color="auto"/>
            <w:bottom w:val="none" w:sz="0" w:space="0" w:color="auto"/>
            <w:right w:val="none" w:sz="0" w:space="0" w:color="auto"/>
          </w:divBdr>
        </w:div>
        <w:div w:id="1971087032">
          <w:marLeft w:val="547"/>
          <w:marRight w:val="0"/>
          <w:marTop w:val="200"/>
          <w:marBottom w:val="0"/>
          <w:divBdr>
            <w:top w:val="none" w:sz="0" w:space="0" w:color="auto"/>
            <w:left w:val="none" w:sz="0" w:space="0" w:color="auto"/>
            <w:bottom w:val="none" w:sz="0" w:space="0" w:color="auto"/>
            <w:right w:val="none" w:sz="0" w:space="0" w:color="auto"/>
          </w:divBdr>
        </w:div>
        <w:div w:id="1062022481">
          <w:marLeft w:val="1166"/>
          <w:marRight w:val="0"/>
          <w:marTop w:val="200"/>
          <w:marBottom w:val="0"/>
          <w:divBdr>
            <w:top w:val="none" w:sz="0" w:space="0" w:color="auto"/>
            <w:left w:val="none" w:sz="0" w:space="0" w:color="auto"/>
            <w:bottom w:val="none" w:sz="0" w:space="0" w:color="auto"/>
            <w:right w:val="none" w:sz="0" w:space="0" w:color="auto"/>
          </w:divBdr>
        </w:div>
        <w:div w:id="147480154">
          <w:marLeft w:val="1166"/>
          <w:marRight w:val="0"/>
          <w:marTop w:val="200"/>
          <w:marBottom w:val="0"/>
          <w:divBdr>
            <w:top w:val="none" w:sz="0" w:space="0" w:color="auto"/>
            <w:left w:val="none" w:sz="0" w:space="0" w:color="auto"/>
            <w:bottom w:val="none" w:sz="0" w:space="0" w:color="auto"/>
            <w:right w:val="none" w:sz="0" w:space="0" w:color="auto"/>
          </w:divBdr>
        </w:div>
        <w:div w:id="951673374">
          <w:marLeft w:val="1166"/>
          <w:marRight w:val="0"/>
          <w:marTop w:val="200"/>
          <w:marBottom w:val="0"/>
          <w:divBdr>
            <w:top w:val="none" w:sz="0" w:space="0" w:color="auto"/>
            <w:left w:val="none" w:sz="0" w:space="0" w:color="auto"/>
            <w:bottom w:val="none" w:sz="0" w:space="0" w:color="auto"/>
            <w:right w:val="none" w:sz="0" w:space="0" w:color="auto"/>
          </w:divBdr>
        </w:div>
        <w:div w:id="916331013">
          <w:marLeft w:val="1166"/>
          <w:marRight w:val="0"/>
          <w:marTop w:val="200"/>
          <w:marBottom w:val="0"/>
          <w:divBdr>
            <w:top w:val="none" w:sz="0" w:space="0" w:color="auto"/>
            <w:left w:val="none" w:sz="0" w:space="0" w:color="auto"/>
            <w:bottom w:val="none" w:sz="0" w:space="0" w:color="auto"/>
            <w:right w:val="none" w:sz="0" w:space="0" w:color="auto"/>
          </w:divBdr>
        </w:div>
        <w:div w:id="927882774">
          <w:marLeft w:val="1166"/>
          <w:marRight w:val="0"/>
          <w:marTop w:val="200"/>
          <w:marBottom w:val="0"/>
          <w:divBdr>
            <w:top w:val="none" w:sz="0" w:space="0" w:color="auto"/>
            <w:left w:val="none" w:sz="0" w:space="0" w:color="auto"/>
            <w:bottom w:val="none" w:sz="0" w:space="0" w:color="auto"/>
            <w:right w:val="none" w:sz="0" w:space="0" w:color="auto"/>
          </w:divBdr>
        </w:div>
      </w:divsChild>
    </w:div>
    <w:div w:id="152568039">
      <w:bodyDiv w:val="1"/>
      <w:marLeft w:val="0"/>
      <w:marRight w:val="0"/>
      <w:marTop w:val="0"/>
      <w:marBottom w:val="0"/>
      <w:divBdr>
        <w:top w:val="none" w:sz="0" w:space="0" w:color="auto"/>
        <w:left w:val="none" w:sz="0" w:space="0" w:color="auto"/>
        <w:bottom w:val="none" w:sz="0" w:space="0" w:color="auto"/>
        <w:right w:val="none" w:sz="0" w:space="0" w:color="auto"/>
      </w:divBdr>
      <w:divsChild>
        <w:div w:id="502091394">
          <w:marLeft w:val="547"/>
          <w:marRight w:val="0"/>
          <w:marTop w:val="200"/>
          <w:marBottom w:val="0"/>
          <w:divBdr>
            <w:top w:val="none" w:sz="0" w:space="0" w:color="auto"/>
            <w:left w:val="none" w:sz="0" w:space="0" w:color="auto"/>
            <w:bottom w:val="none" w:sz="0" w:space="0" w:color="auto"/>
            <w:right w:val="none" w:sz="0" w:space="0" w:color="auto"/>
          </w:divBdr>
        </w:div>
        <w:div w:id="1629893983">
          <w:marLeft w:val="547"/>
          <w:marRight w:val="0"/>
          <w:marTop w:val="200"/>
          <w:marBottom w:val="0"/>
          <w:divBdr>
            <w:top w:val="none" w:sz="0" w:space="0" w:color="auto"/>
            <w:left w:val="none" w:sz="0" w:space="0" w:color="auto"/>
            <w:bottom w:val="none" w:sz="0" w:space="0" w:color="auto"/>
            <w:right w:val="none" w:sz="0" w:space="0" w:color="auto"/>
          </w:divBdr>
        </w:div>
        <w:div w:id="542786365">
          <w:marLeft w:val="547"/>
          <w:marRight w:val="0"/>
          <w:marTop w:val="200"/>
          <w:marBottom w:val="0"/>
          <w:divBdr>
            <w:top w:val="none" w:sz="0" w:space="0" w:color="auto"/>
            <w:left w:val="none" w:sz="0" w:space="0" w:color="auto"/>
            <w:bottom w:val="none" w:sz="0" w:space="0" w:color="auto"/>
            <w:right w:val="none" w:sz="0" w:space="0" w:color="auto"/>
          </w:divBdr>
        </w:div>
        <w:div w:id="508523606">
          <w:marLeft w:val="547"/>
          <w:marRight w:val="0"/>
          <w:marTop w:val="200"/>
          <w:marBottom w:val="0"/>
          <w:divBdr>
            <w:top w:val="none" w:sz="0" w:space="0" w:color="auto"/>
            <w:left w:val="none" w:sz="0" w:space="0" w:color="auto"/>
            <w:bottom w:val="none" w:sz="0" w:space="0" w:color="auto"/>
            <w:right w:val="none" w:sz="0" w:space="0" w:color="auto"/>
          </w:divBdr>
        </w:div>
        <w:div w:id="1114835131">
          <w:marLeft w:val="547"/>
          <w:marRight w:val="0"/>
          <w:marTop w:val="200"/>
          <w:marBottom w:val="0"/>
          <w:divBdr>
            <w:top w:val="none" w:sz="0" w:space="0" w:color="auto"/>
            <w:left w:val="none" w:sz="0" w:space="0" w:color="auto"/>
            <w:bottom w:val="none" w:sz="0" w:space="0" w:color="auto"/>
            <w:right w:val="none" w:sz="0" w:space="0" w:color="auto"/>
          </w:divBdr>
        </w:div>
        <w:div w:id="121506888">
          <w:marLeft w:val="547"/>
          <w:marRight w:val="0"/>
          <w:marTop w:val="200"/>
          <w:marBottom w:val="0"/>
          <w:divBdr>
            <w:top w:val="none" w:sz="0" w:space="0" w:color="auto"/>
            <w:left w:val="none" w:sz="0" w:space="0" w:color="auto"/>
            <w:bottom w:val="none" w:sz="0" w:space="0" w:color="auto"/>
            <w:right w:val="none" w:sz="0" w:space="0" w:color="auto"/>
          </w:divBdr>
        </w:div>
        <w:div w:id="794904522">
          <w:marLeft w:val="547"/>
          <w:marRight w:val="0"/>
          <w:marTop w:val="200"/>
          <w:marBottom w:val="0"/>
          <w:divBdr>
            <w:top w:val="none" w:sz="0" w:space="0" w:color="auto"/>
            <w:left w:val="none" w:sz="0" w:space="0" w:color="auto"/>
            <w:bottom w:val="none" w:sz="0" w:space="0" w:color="auto"/>
            <w:right w:val="none" w:sz="0" w:space="0" w:color="auto"/>
          </w:divBdr>
        </w:div>
        <w:div w:id="1010638462">
          <w:marLeft w:val="547"/>
          <w:marRight w:val="0"/>
          <w:marTop w:val="200"/>
          <w:marBottom w:val="0"/>
          <w:divBdr>
            <w:top w:val="none" w:sz="0" w:space="0" w:color="auto"/>
            <w:left w:val="none" w:sz="0" w:space="0" w:color="auto"/>
            <w:bottom w:val="none" w:sz="0" w:space="0" w:color="auto"/>
            <w:right w:val="none" w:sz="0" w:space="0" w:color="auto"/>
          </w:divBdr>
        </w:div>
        <w:div w:id="1264458884">
          <w:marLeft w:val="547"/>
          <w:marRight w:val="0"/>
          <w:marTop w:val="200"/>
          <w:marBottom w:val="0"/>
          <w:divBdr>
            <w:top w:val="none" w:sz="0" w:space="0" w:color="auto"/>
            <w:left w:val="none" w:sz="0" w:space="0" w:color="auto"/>
            <w:bottom w:val="none" w:sz="0" w:space="0" w:color="auto"/>
            <w:right w:val="none" w:sz="0" w:space="0" w:color="auto"/>
          </w:divBdr>
        </w:div>
      </w:divsChild>
    </w:div>
    <w:div w:id="231044299">
      <w:bodyDiv w:val="1"/>
      <w:marLeft w:val="0"/>
      <w:marRight w:val="0"/>
      <w:marTop w:val="0"/>
      <w:marBottom w:val="0"/>
      <w:divBdr>
        <w:top w:val="none" w:sz="0" w:space="0" w:color="auto"/>
        <w:left w:val="none" w:sz="0" w:space="0" w:color="auto"/>
        <w:bottom w:val="none" w:sz="0" w:space="0" w:color="auto"/>
        <w:right w:val="none" w:sz="0" w:space="0" w:color="auto"/>
      </w:divBdr>
      <w:divsChild>
        <w:div w:id="2044354676">
          <w:marLeft w:val="547"/>
          <w:marRight w:val="0"/>
          <w:marTop w:val="200"/>
          <w:marBottom w:val="0"/>
          <w:divBdr>
            <w:top w:val="none" w:sz="0" w:space="0" w:color="auto"/>
            <w:left w:val="none" w:sz="0" w:space="0" w:color="auto"/>
            <w:bottom w:val="none" w:sz="0" w:space="0" w:color="auto"/>
            <w:right w:val="none" w:sz="0" w:space="0" w:color="auto"/>
          </w:divBdr>
        </w:div>
        <w:div w:id="1759980390">
          <w:marLeft w:val="547"/>
          <w:marRight w:val="0"/>
          <w:marTop w:val="200"/>
          <w:marBottom w:val="0"/>
          <w:divBdr>
            <w:top w:val="none" w:sz="0" w:space="0" w:color="auto"/>
            <w:left w:val="none" w:sz="0" w:space="0" w:color="auto"/>
            <w:bottom w:val="none" w:sz="0" w:space="0" w:color="auto"/>
            <w:right w:val="none" w:sz="0" w:space="0" w:color="auto"/>
          </w:divBdr>
        </w:div>
        <w:div w:id="161505590">
          <w:marLeft w:val="547"/>
          <w:marRight w:val="0"/>
          <w:marTop w:val="200"/>
          <w:marBottom w:val="0"/>
          <w:divBdr>
            <w:top w:val="none" w:sz="0" w:space="0" w:color="auto"/>
            <w:left w:val="none" w:sz="0" w:space="0" w:color="auto"/>
            <w:bottom w:val="none" w:sz="0" w:space="0" w:color="auto"/>
            <w:right w:val="none" w:sz="0" w:space="0" w:color="auto"/>
          </w:divBdr>
        </w:div>
        <w:div w:id="2105152332">
          <w:marLeft w:val="547"/>
          <w:marRight w:val="0"/>
          <w:marTop w:val="200"/>
          <w:marBottom w:val="0"/>
          <w:divBdr>
            <w:top w:val="none" w:sz="0" w:space="0" w:color="auto"/>
            <w:left w:val="none" w:sz="0" w:space="0" w:color="auto"/>
            <w:bottom w:val="none" w:sz="0" w:space="0" w:color="auto"/>
            <w:right w:val="none" w:sz="0" w:space="0" w:color="auto"/>
          </w:divBdr>
        </w:div>
        <w:div w:id="1402092603">
          <w:marLeft w:val="1166"/>
          <w:marRight w:val="0"/>
          <w:marTop w:val="200"/>
          <w:marBottom w:val="0"/>
          <w:divBdr>
            <w:top w:val="none" w:sz="0" w:space="0" w:color="auto"/>
            <w:left w:val="none" w:sz="0" w:space="0" w:color="auto"/>
            <w:bottom w:val="none" w:sz="0" w:space="0" w:color="auto"/>
            <w:right w:val="none" w:sz="0" w:space="0" w:color="auto"/>
          </w:divBdr>
        </w:div>
        <w:div w:id="769080986">
          <w:marLeft w:val="1166"/>
          <w:marRight w:val="0"/>
          <w:marTop w:val="200"/>
          <w:marBottom w:val="0"/>
          <w:divBdr>
            <w:top w:val="none" w:sz="0" w:space="0" w:color="auto"/>
            <w:left w:val="none" w:sz="0" w:space="0" w:color="auto"/>
            <w:bottom w:val="none" w:sz="0" w:space="0" w:color="auto"/>
            <w:right w:val="none" w:sz="0" w:space="0" w:color="auto"/>
          </w:divBdr>
        </w:div>
        <w:div w:id="888493636">
          <w:marLeft w:val="1166"/>
          <w:marRight w:val="0"/>
          <w:marTop w:val="200"/>
          <w:marBottom w:val="0"/>
          <w:divBdr>
            <w:top w:val="none" w:sz="0" w:space="0" w:color="auto"/>
            <w:left w:val="none" w:sz="0" w:space="0" w:color="auto"/>
            <w:bottom w:val="none" w:sz="0" w:space="0" w:color="auto"/>
            <w:right w:val="none" w:sz="0" w:space="0" w:color="auto"/>
          </w:divBdr>
        </w:div>
        <w:div w:id="114521006">
          <w:marLeft w:val="1166"/>
          <w:marRight w:val="0"/>
          <w:marTop w:val="200"/>
          <w:marBottom w:val="0"/>
          <w:divBdr>
            <w:top w:val="none" w:sz="0" w:space="0" w:color="auto"/>
            <w:left w:val="none" w:sz="0" w:space="0" w:color="auto"/>
            <w:bottom w:val="none" w:sz="0" w:space="0" w:color="auto"/>
            <w:right w:val="none" w:sz="0" w:space="0" w:color="auto"/>
          </w:divBdr>
        </w:div>
        <w:div w:id="347869665">
          <w:marLeft w:val="547"/>
          <w:marRight w:val="0"/>
          <w:marTop w:val="200"/>
          <w:marBottom w:val="0"/>
          <w:divBdr>
            <w:top w:val="none" w:sz="0" w:space="0" w:color="auto"/>
            <w:left w:val="none" w:sz="0" w:space="0" w:color="auto"/>
            <w:bottom w:val="none" w:sz="0" w:space="0" w:color="auto"/>
            <w:right w:val="none" w:sz="0" w:space="0" w:color="auto"/>
          </w:divBdr>
        </w:div>
        <w:div w:id="2127845279">
          <w:marLeft w:val="547"/>
          <w:marRight w:val="0"/>
          <w:marTop w:val="200"/>
          <w:marBottom w:val="0"/>
          <w:divBdr>
            <w:top w:val="none" w:sz="0" w:space="0" w:color="auto"/>
            <w:left w:val="none" w:sz="0" w:space="0" w:color="auto"/>
            <w:bottom w:val="none" w:sz="0" w:space="0" w:color="auto"/>
            <w:right w:val="none" w:sz="0" w:space="0" w:color="auto"/>
          </w:divBdr>
        </w:div>
      </w:divsChild>
    </w:div>
    <w:div w:id="329873164">
      <w:bodyDiv w:val="1"/>
      <w:marLeft w:val="0"/>
      <w:marRight w:val="0"/>
      <w:marTop w:val="0"/>
      <w:marBottom w:val="0"/>
      <w:divBdr>
        <w:top w:val="none" w:sz="0" w:space="0" w:color="auto"/>
        <w:left w:val="none" w:sz="0" w:space="0" w:color="auto"/>
        <w:bottom w:val="none" w:sz="0" w:space="0" w:color="auto"/>
        <w:right w:val="none" w:sz="0" w:space="0" w:color="auto"/>
      </w:divBdr>
      <w:divsChild>
        <w:div w:id="1780953412">
          <w:marLeft w:val="547"/>
          <w:marRight w:val="0"/>
          <w:marTop w:val="200"/>
          <w:marBottom w:val="0"/>
          <w:divBdr>
            <w:top w:val="none" w:sz="0" w:space="0" w:color="auto"/>
            <w:left w:val="none" w:sz="0" w:space="0" w:color="auto"/>
            <w:bottom w:val="none" w:sz="0" w:space="0" w:color="auto"/>
            <w:right w:val="none" w:sz="0" w:space="0" w:color="auto"/>
          </w:divBdr>
        </w:div>
        <w:div w:id="482739086">
          <w:marLeft w:val="1166"/>
          <w:marRight w:val="0"/>
          <w:marTop w:val="200"/>
          <w:marBottom w:val="0"/>
          <w:divBdr>
            <w:top w:val="none" w:sz="0" w:space="0" w:color="auto"/>
            <w:left w:val="none" w:sz="0" w:space="0" w:color="auto"/>
            <w:bottom w:val="none" w:sz="0" w:space="0" w:color="auto"/>
            <w:right w:val="none" w:sz="0" w:space="0" w:color="auto"/>
          </w:divBdr>
        </w:div>
        <w:div w:id="1682270627">
          <w:marLeft w:val="1166"/>
          <w:marRight w:val="0"/>
          <w:marTop w:val="200"/>
          <w:marBottom w:val="0"/>
          <w:divBdr>
            <w:top w:val="none" w:sz="0" w:space="0" w:color="auto"/>
            <w:left w:val="none" w:sz="0" w:space="0" w:color="auto"/>
            <w:bottom w:val="none" w:sz="0" w:space="0" w:color="auto"/>
            <w:right w:val="none" w:sz="0" w:space="0" w:color="auto"/>
          </w:divBdr>
        </w:div>
        <w:div w:id="1135366317">
          <w:marLeft w:val="1166"/>
          <w:marRight w:val="0"/>
          <w:marTop w:val="200"/>
          <w:marBottom w:val="0"/>
          <w:divBdr>
            <w:top w:val="none" w:sz="0" w:space="0" w:color="auto"/>
            <w:left w:val="none" w:sz="0" w:space="0" w:color="auto"/>
            <w:bottom w:val="none" w:sz="0" w:space="0" w:color="auto"/>
            <w:right w:val="none" w:sz="0" w:space="0" w:color="auto"/>
          </w:divBdr>
        </w:div>
        <w:div w:id="621421437">
          <w:marLeft w:val="1166"/>
          <w:marRight w:val="0"/>
          <w:marTop w:val="200"/>
          <w:marBottom w:val="0"/>
          <w:divBdr>
            <w:top w:val="none" w:sz="0" w:space="0" w:color="auto"/>
            <w:left w:val="none" w:sz="0" w:space="0" w:color="auto"/>
            <w:bottom w:val="none" w:sz="0" w:space="0" w:color="auto"/>
            <w:right w:val="none" w:sz="0" w:space="0" w:color="auto"/>
          </w:divBdr>
        </w:div>
        <w:div w:id="334311576">
          <w:marLeft w:val="547"/>
          <w:marRight w:val="0"/>
          <w:marTop w:val="200"/>
          <w:marBottom w:val="0"/>
          <w:divBdr>
            <w:top w:val="none" w:sz="0" w:space="0" w:color="auto"/>
            <w:left w:val="none" w:sz="0" w:space="0" w:color="auto"/>
            <w:bottom w:val="none" w:sz="0" w:space="0" w:color="auto"/>
            <w:right w:val="none" w:sz="0" w:space="0" w:color="auto"/>
          </w:divBdr>
        </w:div>
        <w:div w:id="1255359313">
          <w:marLeft w:val="1166"/>
          <w:marRight w:val="0"/>
          <w:marTop w:val="200"/>
          <w:marBottom w:val="0"/>
          <w:divBdr>
            <w:top w:val="none" w:sz="0" w:space="0" w:color="auto"/>
            <w:left w:val="none" w:sz="0" w:space="0" w:color="auto"/>
            <w:bottom w:val="none" w:sz="0" w:space="0" w:color="auto"/>
            <w:right w:val="none" w:sz="0" w:space="0" w:color="auto"/>
          </w:divBdr>
        </w:div>
      </w:divsChild>
    </w:div>
    <w:div w:id="1328285000">
      <w:bodyDiv w:val="1"/>
      <w:marLeft w:val="0"/>
      <w:marRight w:val="0"/>
      <w:marTop w:val="0"/>
      <w:marBottom w:val="0"/>
      <w:divBdr>
        <w:top w:val="none" w:sz="0" w:space="0" w:color="auto"/>
        <w:left w:val="none" w:sz="0" w:space="0" w:color="auto"/>
        <w:bottom w:val="none" w:sz="0" w:space="0" w:color="auto"/>
        <w:right w:val="none" w:sz="0" w:space="0" w:color="auto"/>
      </w:divBdr>
      <w:divsChild>
        <w:div w:id="242108029">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959</Words>
  <Characters>5664</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vfn</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Sára Urbančíková</dc:creator>
  <cp:lastModifiedBy>Sára Urbančíková</cp:lastModifiedBy>
  <cp:revision>3</cp:revision>
  <dcterms:created xsi:type="dcterms:W3CDTF">2015-12-11T22:25:00Z</dcterms:created>
  <dcterms:modified xsi:type="dcterms:W3CDTF">2015-12-13T09:04:00Z</dcterms:modified>
</cp:coreProperties>
</file>