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4381" w14:textId="77777777" w:rsidR="00446BFF" w:rsidRPr="005937A4" w:rsidRDefault="00446BFF" w:rsidP="00446BFF">
      <w:pPr>
        <w:rPr>
          <w:rFonts w:ascii="Cambria" w:hAnsi="Cambria"/>
          <w:b/>
          <w:bCs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Academic Reading Worksheet: Modals of Certainty</w:t>
      </w:r>
    </w:p>
    <w:p w14:paraId="45C9E56F" w14:textId="77777777" w:rsidR="00446BFF" w:rsidRPr="005937A4" w:rsidRDefault="00446BFF" w:rsidP="00446BFF">
      <w:p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Modals of certainty help us show how sure we are about something. They are often used in academic texts to evaluate evidence, make interpretations, and discuss possible explanations.</w:t>
      </w:r>
    </w:p>
    <w:p w14:paraId="6D73B793" w14:textId="77777777" w:rsidR="00446BFF" w:rsidRPr="005937A4" w:rsidRDefault="00446BFF" w:rsidP="00446BFF">
      <w:pPr>
        <w:rPr>
          <w:rFonts w:ascii="Cambria" w:hAnsi="Cambria"/>
          <w:b/>
          <w:bCs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High Certainty</w:t>
      </w:r>
    </w:p>
    <w:p w14:paraId="0B5683F5" w14:textId="77777777" w:rsidR="00446BFF" w:rsidRPr="005937A4" w:rsidRDefault="00446BFF" w:rsidP="00446BFF">
      <w:pPr>
        <w:numPr>
          <w:ilvl w:val="0"/>
          <w:numId w:val="1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must</w:t>
      </w:r>
      <w:r w:rsidRPr="005937A4">
        <w:rPr>
          <w:rFonts w:ascii="Cambria" w:hAnsi="Cambria"/>
          <w:sz w:val="24"/>
          <w:szCs w:val="24"/>
          <w:lang w:val="en-GB"/>
        </w:rPr>
        <w:t xml:space="preserve"> (present/future): strong logical conclusion</w:t>
      </w:r>
    </w:p>
    <w:p w14:paraId="111103BB" w14:textId="77777777" w:rsidR="00446BFF" w:rsidRPr="005937A4" w:rsidRDefault="00446BFF" w:rsidP="00446BFF">
      <w:pPr>
        <w:numPr>
          <w:ilvl w:val="0"/>
          <w:numId w:val="1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must have</w:t>
      </w:r>
      <w:r w:rsidRPr="005937A4">
        <w:rPr>
          <w:rFonts w:ascii="Cambria" w:hAnsi="Cambria"/>
          <w:sz w:val="24"/>
          <w:szCs w:val="24"/>
          <w:lang w:val="en-GB"/>
        </w:rPr>
        <w:t xml:space="preserve"> (past): strong logical conclusion about the past</w:t>
      </w:r>
    </w:p>
    <w:p w14:paraId="54C8D97A" w14:textId="77777777" w:rsidR="00446BFF" w:rsidRPr="005937A4" w:rsidRDefault="00446BFF" w:rsidP="00446BFF">
      <w:pPr>
        <w:numPr>
          <w:ilvl w:val="0"/>
          <w:numId w:val="1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will certainly / will definitely</w:t>
      </w:r>
      <w:r w:rsidRPr="005937A4">
        <w:rPr>
          <w:rFonts w:ascii="Cambria" w:hAnsi="Cambria"/>
          <w:sz w:val="24"/>
          <w:szCs w:val="24"/>
          <w:lang w:val="en-GB"/>
        </w:rPr>
        <w:t>: future certainty</w:t>
      </w:r>
    </w:p>
    <w:p w14:paraId="384BEE2B" w14:textId="77777777" w:rsidR="00446BFF" w:rsidRPr="005937A4" w:rsidRDefault="00446BFF" w:rsidP="00446BFF">
      <w:pPr>
        <w:numPr>
          <w:ilvl w:val="0"/>
          <w:numId w:val="1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cannot / can't</w:t>
      </w:r>
      <w:r w:rsidRPr="005937A4">
        <w:rPr>
          <w:rFonts w:ascii="Cambria" w:hAnsi="Cambria"/>
          <w:sz w:val="24"/>
          <w:szCs w:val="24"/>
          <w:lang w:val="en-GB"/>
        </w:rPr>
        <w:t>: strong belief that something is impossible</w:t>
      </w:r>
    </w:p>
    <w:p w14:paraId="53FCC116" w14:textId="77777777" w:rsidR="00446BFF" w:rsidRPr="005937A4" w:rsidRDefault="00446BFF" w:rsidP="00446BFF">
      <w:pPr>
        <w:rPr>
          <w:rFonts w:ascii="Cambria" w:hAnsi="Cambria"/>
          <w:b/>
          <w:bCs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Medium Certainty</w:t>
      </w:r>
    </w:p>
    <w:p w14:paraId="22883E30" w14:textId="77777777" w:rsidR="00446BFF" w:rsidRPr="005937A4" w:rsidRDefault="00446BFF" w:rsidP="00446BFF">
      <w:pPr>
        <w:numPr>
          <w:ilvl w:val="0"/>
          <w:numId w:val="2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may / might / could</w:t>
      </w:r>
      <w:r w:rsidRPr="005937A4">
        <w:rPr>
          <w:rFonts w:ascii="Cambria" w:hAnsi="Cambria"/>
          <w:sz w:val="24"/>
          <w:szCs w:val="24"/>
          <w:lang w:val="en-GB"/>
        </w:rPr>
        <w:t>: something is possible but not certain</w:t>
      </w:r>
    </w:p>
    <w:p w14:paraId="5FC67F11" w14:textId="77777777" w:rsidR="00446BFF" w:rsidRPr="005937A4" w:rsidRDefault="00446BFF" w:rsidP="00446BFF">
      <w:pPr>
        <w:numPr>
          <w:ilvl w:val="0"/>
          <w:numId w:val="2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may well</w:t>
      </w:r>
      <w:r w:rsidRPr="005937A4">
        <w:rPr>
          <w:rFonts w:ascii="Cambria" w:hAnsi="Cambria"/>
          <w:sz w:val="24"/>
          <w:szCs w:val="24"/>
          <w:lang w:val="en-GB"/>
        </w:rPr>
        <w:t xml:space="preserve">: </w:t>
      </w:r>
      <w:proofErr w:type="gramStart"/>
      <w:r w:rsidRPr="005937A4">
        <w:rPr>
          <w:rFonts w:ascii="Cambria" w:hAnsi="Cambria"/>
          <w:sz w:val="24"/>
          <w:szCs w:val="24"/>
          <w:lang w:val="en-GB"/>
        </w:rPr>
        <w:t>fairly strong</w:t>
      </w:r>
      <w:proofErr w:type="gramEnd"/>
      <w:r w:rsidRPr="005937A4">
        <w:rPr>
          <w:rFonts w:ascii="Cambria" w:hAnsi="Cambria"/>
          <w:sz w:val="24"/>
          <w:szCs w:val="24"/>
          <w:lang w:val="en-GB"/>
        </w:rPr>
        <w:t xml:space="preserve"> probability</w:t>
      </w:r>
    </w:p>
    <w:p w14:paraId="5D05A1E4" w14:textId="77777777" w:rsidR="00446BFF" w:rsidRPr="005937A4" w:rsidRDefault="00446BFF" w:rsidP="00446BFF">
      <w:pPr>
        <w:numPr>
          <w:ilvl w:val="0"/>
          <w:numId w:val="2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be likely to</w:t>
      </w:r>
      <w:r w:rsidRPr="005937A4">
        <w:rPr>
          <w:rFonts w:ascii="Cambria" w:hAnsi="Cambria"/>
          <w:sz w:val="24"/>
          <w:szCs w:val="24"/>
          <w:lang w:val="en-GB"/>
        </w:rPr>
        <w:t>: strong probability</w:t>
      </w:r>
    </w:p>
    <w:p w14:paraId="3C208530" w14:textId="77777777" w:rsidR="00446BFF" w:rsidRPr="005937A4" w:rsidRDefault="00446BFF" w:rsidP="00446BFF">
      <w:pPr>
        <w:rPr>
          <w:rFonts w:ascii="Cambria" w:hAnsi="Cambria"/>
          <w:b/>
          <w:bCs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Low Certainty</w:t>
      </w:r>
    </w:p>
    <w:p w14:paraId="46A268B7" w14:textId="77777777" w:rsidR="00446BFF" w:rsidRPr="005937A4" w:rsidRDefault="00446BFF" w:rsidP="00446BFF">
      <w:pPr>
        <w:numPr>
          <w:ilvl w:val="0"/>
          <w:numId w:val="3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might / could</w:t>
      </w:r>
      <w:r w:rsidRPr="005937A4">
        <w:rPr>
          <w:rFonts w:ascii="Cambria" w:hAnsi="Cambria"/>
          <w:sz w:val="24"/>
          <w:szCs w:val="24"/>
          <w:lang w:val="en-GB"/>
        </w:rPr>
        <w:t xml:space="preserve"> (weaker depending on context): a small possibility</w:t>
      </w:r>
    </w:p>
    <w:p w14:paraId="5F980BFF" w14:textId="77777777" w:rsidR="00446BFF" w:rsidRPr="005937A4" w:rsidRDefault="00446BFF" w:rsidP="00446BFF">
      <w:p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pict w14:anchorId="4E2687A9">
          <v:rect id="_x0000_i1025" style="width:0;height:1.5pt" o:hralign="center" o:hrstd="t" o:hr="t" fillcolor="#a0a0a0" stroked="f"/>
        </w:pict>
      </w:r>
    </w:p>
    <w:p w14:paraId="157182A6" w14:textId="0C05A12D" w:rsidR="00446BFF" w:rsidRPr="005937A4" w:rsidRDefault="00446BFF" w:rsidP="00446BFF">
      <w:p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b/>
          <w:bCs/>
          <w:sz w:val="24"/>
          <w:szCs w:val="24"/>
          <w:lang w:val="en-GB"/>
        </w:rPr>
        <w:t>Exercise: Modals of Certainty</w:t>
      </w:r>
      <w:r w:rsidRPr="00446BFF">
        <w:rPr>
          <w:rFonts w:ascii="Cambria" w:hAnsi="Cambria"/>
          <w:b/>
          <w:bCs/>
          <w:sz w:val="24"/>
          <w:szCs w:val="24"/>
          <w:lang w:val="en-GB"/>
        </w:rPr>
        <w:t xml:space="preserve"> - </w:t>
      </w:r>
      <w:r w:rsidRPr="005937A4">
        <w:rPr>
          <w:rFonts w:ascii="Cambria" w:hAnsi="Cambria"/>
          <w:b/>
          <w:bCs/>
          <w:sz w:val="24"/>
          <w:szCs w:val="24"/>
          <w:lang w:val="en-GB"/>
        </w:rPr>
        <w:t>Instructions:</w:t>
      </w:r>
      <w:r w:rsidRPr="005937A4">
        <w:rPr>
          <w:rFonts w:ascii="Cambria" w:hAnsi="Cambria"/>
          <w:sz w:val="24"/>
          <w:szCs w:val="24"/>
          <w:lang w:val="en-GB"/>
        </w:rPr>
        <w:t xml:space="preserve"> Read the sentences. Identify:</w:t>
      </w:r>
    </w:p>
    <w:p w14:paraId="3EADDCEB" w14:textId="77777777" w:rsidR="00446BFF" w:rsidRPr="005937A4" w:rsidRDefault="00446BFF" w:rsidP="00446BFF">
      <w:p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 xml:space="preserve">The </w:t>
      </w:r>
      <w:r w:rsidRPr="005937A4">
        <w:rPr>
          <w:rFonts w:ascii="Cambria" w:hAnsi="Cambria"/>
          <w:b/>
          <w:bCs/>
          <w:sz w:val="24"/>
          <w:szCs w:val="24"/>
          <w:lang w:val="en-GB"/>
        </w:rPr>
        <w:t>modal verb or expression</w:t>
      </w:r>
      <w:r w:rsidRPr="005937A4">
        <w:rPr>
          <w:rFonts w:ascii="Cambria" w:hAnsi="Cambria"/>
          <w:sz w:val="24"/>
          <w:szCs w:val="24"/>
          <w:lang w:val="en-GB"/>
        </w:rPr>
        <w:t xml:space="preserve"> of certainty.</w:t>
      </w:r>
    </w:p>
    <w:p w14:paraId="2F00E935" w14:textId="77777777" w:rsidR="00446BFF" w:rsidRPr="005937A4" w:rsidRDefault="00446BFF" w:rsidP="00446BFF">
      <w:p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 xml:space="preserve">The </w:t>
      </w:r>
      <w:r w:rsidRPr="005937A4">
        <w:rPr>
          <w:rFonts w:ascii="Cambria" w:hAnsi="Cambria"/>
          <w:b/>
          <w:bCs/>
          <w:sz w:val="24"/>
          <w:szCs w:val="24"/>
          <w:lang w:val="en-GB"/>
        </w:rPr>
        <w:t>degree of certainty</w:t>
      </w:r>
      <w:r w:rsidRPr="005937A4">
        <w:rPr>
          <w:rFonts w:ascii="Cambria" w:hAnsi="Cambria"/>
          <w:sz w:val="24"/>
          <w:szCs w:val="24"/>
          <w:lang w:val="en-GB"/>
        </w:rPr>
        <w:t xml:space="preserve"> (high, medium, low).</w:t>
      </w:r>
    </w:p>
    <w:p w14:paraId="50FF54D1" w14:textId="77777777" w:rsidR="00446BFF" w:rsidRPr="005937A4" w:rsidRDefault="00446BFF" w:rsidP="00446BFF">
      <w:p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 xml:space="preserve">The </w:t>
      </w:r>
      <w:r w:rsidRPr="005937A4">
        <w:rPr>
          <w:rFonts w:ascii="Cambria" w:hAnsi="Cambria"/>
          <w:b/>
          <w:bCs/>
          <w:sz w:val="24"/>
          <w:szCs w:val="24"/>
          <w:lang w:val="en-GB"/>
        </w:rPr>
        <w:t>meaning</w:t>
      </w:r>
      <w:r w:rsidRPr="005937A4">
        <w:rPr>
          <w:rFonts w:ascii="Cambria" w:hAnsi="Cambria"/>
          <w:sz w:val="24"/>
          <w:szCs w:val="24"/>
          <w:lang w:val="en-GB"/>
        </w:rPr>
        <w:t xml:space="preserve"> in context (e.g., logical conclusion, impossibility, probability).</w:t>
      </w:r>
    </w:p>
    <w:p w14:paraId="6E65C976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The results must be in the appendix, but I haven’t checked yet.</w:t>
      </w:r>
    </w:p>
    <w:p w14:paraId="51EEB784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This article can’t be from a reliable source; it contains several factual errors.</w:t>
      </w:r>
    </w:p>
    <w:p w14:paraId="4E032256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The author may be referring to earlier research, but it’s not entirely clear.</w:t>
      </w:r>
    </w:p>
    <w:p w14:paraId="69491FD8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Students might struggle with this chapter because the vocabulary is advanced.</w:t>
      </w:r>
    </w:p>
    <w:p w14:paraId="3557A32C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The rise in temperature could indicate a broader climate trend.</w:t>
      </w:r>
    </w:p>
    <w:p w14:paraId="7E1B9291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These data must have been collected before the policy change.</w:t>
      </w:r>
    </w:p>
    <w:p w14:paraId="02D2BEBD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The theory can’t have predicted such rapid developments.</w:t>
      </w:r>
    </w:p>
    <w:p w14:paraId="69EC0816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More funding will certainly improve the reliability of the study.</w:t>
      </w:r>
    </w:p>
    <w:p w14:paraId="1EFF3360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The differences in the two samples may well be due to random variation.</w:t>
      </w:r>
    </w:p>
    <w:p w14:paraId="3F62AC43" w14:textId="77777777" w:rsidR="00446BFF" w:rsidRPr="005937A4" w:rsidRDefault="00446BFF" w:rsidP="00446BFF">
      <w:pPr>
        <w:numPr>
          <w:ilvl w:val="0"/>
          <w:numId w:val="4"/>
        </w:numPr>
        <w:rPr>
          <w:rFonts w:ascii="Cambria" w:hAnsi="Cambria"/>
          <w:sz w:val="24"/>
          <w:szCs w:val="24"/>
          <w:lang w:val="en-GB"/>
        </w:rPr>
      </w:pPr>
      <w:r w:rsidRPr="005937A4">
        <w:rPr>
          <w:rFonts w:ascii="Cambria" w:hAnsi="Cambria"/>
          <w:sz w:val="24"/>
          <w:szCs w:val="24"/>
          <w:lang w:val="en-GB"/>
        </w:rPr>
        <w:t>The researchers are likely to publish follow-up results next year.</w:t>
      </w:r>
    </w:p>
    <w:p w14:paraId="73DD4D8A" w14:textId="007BA0FF" w:rsidR="00C1503E" w:rsidRPr="00446BFF" w:rsidRDefault="00C1503E">
      <w:pPr>
        <w:rPr>
          <w:rFonts w:ascii="Cambria" w:hAnsi="Cambria"/>
          <w:sz w:val="24"/>
          <w:szCs w:val="24"/>
          <w:lang w:val="en-GB"/>
        </w:rPr>
      </w:pPr>
    </w:p>
    <w:sectPr w:rsidR="00C1503E" w:rsidRPr="00446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F2C43"/>
    <w:multiLevelType w:val="multilevel"/>
    <w:tmpl w:val="6D7C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91D2C"/>
    <w:multiLevelType w:val="multilevel"/>
    <w:tmpl w:val="C07A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828AA"/>
    <w:multiLevelType w:val="multilevel"/>
    <w:tmpl w:val="9E327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B4617"/>
    <w:multiLevelType w:val="multilevel"/>
    <w:tmpl w:val="2B8E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8955367">
    <w:abstractNumId w:val="3"/>
  </w:num>
  <w:num w:numId="2" w16cid:durableId="758260215">
    <w:abstractNumId w:val="1"/>
  </w:num>
  <w:num w:numId="3" w16cid:durableId="887380706">
    <w:abstractNumId w:val="0"/>
  </w:num>
  <w:num w:numId="4" w16cid:durableId="836458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FF"/>
    <w:rsid w:val="00440799"/>
    <w:rsid w:val="00446BFF"/>
    <w:rsid w:val="006E3269"/>
    <w:rsid w:val="00B560AC"/>
    <w:rsid w:val="00C1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DC9B"/>
  <w15:chartTrackingRefBased/>
  <w15:docId w15:val="{77EE8E5B-46BF-4D91-8E29-F54D132D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6BFF"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46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6B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6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6B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6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6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6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6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6BFF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6BF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6BFF"/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6BFF"/>
    <w:rPr>
      <w:rFonts w:eastAsiaTheme="majorEastAsia" w:cstheme="majorBidi"/>
      <w:i/>
      <w:iCs/>
      <w:color w:val="2E74B5" w:themeColor="accent1" w:themeShade="BF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6BFF"/>
    <w:rPr>
      <w:rFonts w:eastAsiaTheme="majorEastAsia" w:cstheme="majorBidi"/>
      <w:color w:val="2E74B5" w:themeColor="accent1" w:themeShade="BF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6BF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6BFF"/>
    <w:rPr>
      <w:rFonts w:eastAsiaTheme="majorEastAsia" w:cstheme="majorBidi"/>
      <w:color w:val="595959" w:themeColor="text1" w:themeTint="A6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6BF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6BFF"/>
    <w:rPr>
      <w:rFonts w:eastAsiaTheme="majorEastAsia" w:cstheme="majorBidi"/>
      <w:color w:val="272727" w:themeColor="text1" w:themeTint="D8"/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446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6BF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6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6BF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446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6BFF"/>
    <w:rPr>
      <w:i/>
      <w:iCs/>
      <w:color w:val="404040" w:themeColor="text1" w:themeTint="BF"/>
      <w:lang w:val="en-US"/>
    </w:rPr>
  </w:style>
  <w:style w:type="paragraph" w:styleId="Odstavecseseznamem">
    <w:name w:val="List Paragraph"/>
    <w:basedOn w:val="Normln"/>
    <w:uiPriority w:val="34"/>
    <w:qFormat/>
    <w:rsid w:val="00446B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6BF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6B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6BFF"/>
    <w:rPr>
      <w:i/>
      <w:iCs/>
      <w:color w:val="2E74B5" w:themeColor="accent1" w:themeShade="BF"/>
      <w:lang w:val="en-US"/>
    </w:rPr>
  </w:style>
  <w:style w:type="character" w:styleId="Odkazintenzivn">
    <w:name w:val="Intense Reference"/>
    <w:basedOn w:val="Standardnpsmoodstavce"/>
    <w:uiPriority w:val="32"/>
    <w:qFormat/>
    <w:rsid w:val="00446BF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Ritter Konárková, Michaela</dc:creator>
  <cp:keywords/>
  <dc:description/>
  <cp:lastModifiedBy>Ritter Konárková, Michaela</cp:lastModifiedBy>
  <cp:revision>1</cp:revision>
  <dcterms:created xsi:type="dcterms:W3CDTF">2025-11-25T16:07:00Z</dcterms:created>
  <dcterms:modified xsi:type="dcterms:W3CDTF">2025-11-25T16:12:00Z</dcterms:modified>
</cp:coreProperties>
</file>