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E51" w:rsidRDefault="00765E51" w:rsidP="00765E51">
      <w:pPr>
        <w:pStyle w:val="Standard"/>
        <w:jc w:val="center"/>
        <w:rPr>
          <w:sz w:val="28"/>
          <w:szCs w:val="28"/>
        </w:rPr>
      </w:pPr>
      <w:bookmarkStart w:id="0" w:name="_Hlk68701811"/>
    </w:p>
    <w:p w:rsidR="00765E51" w:rsidRDefault="00765E51" w:rsidP="00765E51">
      <w:pPr>
        <w:pStyle w:val="Standard"/>
        <w:jc w:val="center"/>
        <w:rPr>
          <w:sz w:val="36"/>
          <w:szCs w:val="28"/>
        </w:rPr>
      </w:pPr>
    </w:p>
    <w:p w:rsidR="00765E51" w:rsidRDefault="00765E51" w:rsidP="00765E51">
      <w:pPr>
        <w:pStyle w:val="Standard"/>
        <w:jc w:val="center"/>
        <w:rPr>
          <w:sz w:val="36"/>
          <w:szCs w:val="28"/>
        </w:rPr>
      </w:pPr>
    </w:p>
    <w:p w:rsidR="00765E51" w:rsidRDefault="00765E51" w:rsidP="00765E51">
      <w:pPr>
        <w:pStyle w:val="Standard"/>
        <w:jc w:val="center"/>
        <w:rPr>
          <w:sz w:val="36"/>
          <w:szCs w:val="28"/>
        </w:rPr>
      </w:pPr>
    </w:p>
    <w:p w:rsidR="00765E51" w:rsidRDefault="00765E51" w:rsidP="00765E51">
      <w:pPr>
        <w:pStyle w:val="Standard"/>
        <w:jc w:val="center"/>
        <w:rPr>
          <w:sz w:val="36"/>
          <w:szCs w:val="28"/>
        </w:rPr>
      </w:pPr>
    </w:p>
    <w:p w:rsidR="00765E51" w:rsidRDefault="00765E51" w:rsidP="00765E51">
      <w:pPr>
        <w:pStyle w:val="Standard"/>
        <w:jc w:val="center"/>
        <w:rPr>
          <w:sz w:val="36"/>
          <w:szCs w:val="28"/>
        </w:rPr>
      </w:pPr>
    </w:p>
    <w:p w:rsidR="00765E51" w:rsidRDefault="00765E51" w:rsidP="00765E51">
      <w:pPr>
        <w:pStyle w:val="Standard"/>
        <w:jc w:val="center"/>
        <w:rPr>
          <w:sz w:val="36"/>
          <w:szCs w:val="28"/>
        </w:rPr>
      </w:pPr>
    </w:p>
    <w:p w:rsidR="00765E51" w:rsidRPr="001C7E7C" w:rsidRDefault="00765E51" w:rsidP="00767A5F">
      <w:pPr>
        <w:pStyle w:val="Standard"/>
        <w:spacing w:line="360" w:lineRule="auto"/>
        <w:jc w:val="center"/>
        <w:rPr>
          <w:sz w:val="48"/>
          <w:szCs w:val="48"/>
        </w:rPr>
      </w:pPr>
      <w:r w:rsidRPr="001C7E7C">
        <w:rPr>
          <w:sz w:val="48"/>
          <w:szCs w:val="48"/>
        </w:rPr>
        <w:t>Konspekt</w:t>
      </w:r>
    </w:p>
    <w:p w:rsidR="00765E51" w:rsidRPr="001C7E7C" w:rsidRDefault="001C7E7C" w:rsidP="00767A5F">
      <w:pPr>
        <w:pStyle w:val="Standard"/>
        <w:keepLines/>
        <w:spacing w:line="360" w:lineRule="auto"/>
        <w:jc w:val="center"/>
        <w:rPr>
          <w:b/>
          <w:sz w:val="28"/>
          <w:szCs w:val="28"/>
        </w:rPr>
      </w:pPr>
      <w:r w:rsidRPr="001C7E7C">
        <w:rPr>
          <w:b/>
          <w:sz w:val="56"/>
          <w:szCs w:val="56"/>
        </w:rPr>
        <w:t>Přínosy a rizika</w:t>
      </w:r>
      <w:r w:rsidR="006B1F41">
        <w:rPr>
          <w:b/>
          <w:sz w:val="56"/>
          <w:szCs w:val="56"/>
        </w:rPr>
        <w:t xml:space="preserve"> elektronických</w:t>
      </w:r>
      <w:r w:rsidRPr="001C7E7C">
        <w:rPr>
          <w:b/>
          <w:sz w:val="56"/>
          <w:szCs w:val="56"/>
        </w:rPr>
        <w:t xml:space="preserve"> </w:t>
      </w:r>
      <w:r w:rsidR="00FE0B15">
        <w:rPr>
          <w:b/>
          <w:sz w:val="56"/>
          <w:szCs w:val="56"/>
        </w:rPr>
        <w:t xml:space="preserve">voleb </w:t>
      </w: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jc w:val="center"/>
        <w:rPr>
          <w:sz w:val="28"/>
          <w:szCs w:val="28"/>
        </w:rPr>
      </w:pPr>
    </w:p>
    <w:p w:rsidR="00765E51" w:rsidRPr="00765E51" w:rsidRDefault="00765E51" w:rsidP="00767A5F">
      <w:pPr>
        <w:pStyle w:val="Standard"/>
        <w:keepLines/>
        <w:spacing w:line="360" w:lineRule="auto"/>
        <w:rPr>
          <w:sz w:val="28"/>
          <w:szCs w:val="28"/>
        </w:rPr>
      </w:pPr>
    </w:p>
    <w:p w:rsidR="00767A5F" w:rsidRPr="00765E51" w:rsidRDefault="00767A5F" w:rsidP="00767A5F">
      <w:pPr>
        <w:pStyle w:val="Standard"/>
        <w:keepLines/>
        <w:spacing w:before="120" w:after="120" w:line="360" w:lineRule="auto"/>
        <w:rPr>
          <w:sz w:val="28"/>
          <w:szCs w:val="28"/>
        </w:rPr>
      </w:pPr>
      <w:r>
        <w:rPr>
          <w:sz w:val="28"/>
          <w:szCs w:val="28"/>
        </w:rPr>
        <w:t>Vojtěch Máčel</w:t>
      </w:r>
    </w:p>
    <w:p w:rsidR="00767A5F" w:rsidRDefault="00767A5F" w:rsidP="00767A5F">
      <w:pPr>
        <w:pStyle w:val="Standard"/>
        <w:keepLines/>
        <w:spacing w:before="120" w:after="120" w:line="360" w:lineRule="auto"/>
        <w:rPr>
          <w:sz w:val="28"/>
          <w:szCs w:val="28"/>
        </w:rPr>
      </w:pPr>
      <w:r>
        <w:rPr>
          <w:sz w:val="28"/>
          <w:szCs w:val="28"/>
        </w:rPr>
        <w:t xml:space="preserve">Úvod do akademické práce </w:t>
      </w:r>
    </w:p>
    <w:p w:rsidR="00767A5F" w:rsidRPr="00767A5F" w:rsidRDefault="00767A5F" w:rsidP="00767A5F">
      <w:pPr>
        <w:pStyle w:val="Standard"/>
        <w:keepLines/>
        <w:spacing w:before="120" w:after="120" w:line="360" w:lineRule="auto"/>
        <w:rPr>
          <w:sz w:val="28"/>
          <w:szCs w:val="28"/>
        </w:rPr>
      </w:pPr>
      <w:r>
        <w:rPr>
          <w:sz w:val="28"/>
          <w:szCs w:val="28"/>
        </w:rPr>
        <w:t>Zimní semestr 2025</w:t>
      </w:r>
    </w:p>
    <w:p w:rsidR="00765E51" w:rsidRDefault="00765E51" w:rsidP="00767A5F">
      <w:pPr>
        <w:pStyle w:val="Standard"/>
        <w:keepLines/>
        <w:spacing w:before="120" w:after="120" w:line="360" w:lineRule="auto"/>
        <w:rPr>
          <w:sz w:val="28"/>
          <w:szCs w:val="28"/>
        </w:rPr>
      </w:pPr>
    </w:p>
    <w:p w:rsidR="00765E51" w:rsidRDefault="00765E51" w:rsidP="00767A5F">
      <w:pPr>
        <w:pStyle w:val="Standard"/>
        <w:keepLines/>
        <w:spacing w:before="120" w:after="120" w:line="360" w:lineRule="auto"/>
        <w:rPr>
          <w:sz w:val="28"/>
          <w:szCs w:val="28"/>
        </w:rPr>
      </w:pPr>
    </w:p>
    <w:p w:rsidR="00765E51" w:rsidRDefault="00765E51" w:rsidP="00767A5F">
      <w:pPr>
        <w:pStyle w:val="Standard"/>
        <w:keepLines/>
        <w:spacing w:before="120" w:after="120" w:line="360" w:lineRule="auto"/>
        <w:rPr>
          <w:sz w:val="28"/>
          <w:szCs w:val="28"/>
        </w:rPr>
      </w:pPr>
    </w:p>
    <w:p w:rsidR="00765E51" w:rsidRDefault="00765E51" w:rsidP="00767A5F">
      <w:pPr>
        <w:pStyle w:val="Standard"/>
        <w:keepLines/>
        <w:spacing w:before="120" w:after="120" w:line="360" w:lineRule="auto"/>
        <w:rPr>
          <w:sz w:val="28"/>
          <w:szCs w:val="28"/>
        </w:rPr>
      </w:pPr>
    </w:p>
    <w:p w:rsidR="00765E51" w:rsidRDefault="00765E51" w:rsidP="00767A5F">
      <w:pPr>
        <w:pStyle w:val="Standard"/>
        <w:keepLines/>
        <w:spacing w:before="120" w:after="120" w:line="360" w:lineRule="auto"/>
        <w:rPr>
          <w:sz w:val="28"/>
          <w:szCs w:val="28"/>
        </w:rPr>
      </w:pPr>
    </w:p>
    <w:p w:rsidR="00DF2BC0" w:rsidRDefault="00DF2BC0" w:rsidP="00767A5F">
      <w:pPr>
        <w:pStyle w:val="Standard"/>
        <w:keepLines/>
        <w:spacing w:before="120" w:after="120" w:line="360" w:lineRule="auto"/>
        <w:rPr>
          <w:color w:val="FF0000"/>
          <w:sz w:val="28"/>
          <w:szCs w:val="28"/>
        </w:rPr>
      </w:pPr>
    </w:p>
    <w:p w:rsidR="00A45623" w:rsidRDefault="00A45623" w:rsidP="00767A5F">
      <w:pPr>
        <w:pStyle w:val="Standard"/>
        <w:keepLines/>
        <w:spacing w:before="120" w:after="120" w:line="360" w:lineRule="auto"/>
        <w:rPr>
          <w:b/>
          <w:sz w:val="28"/>
          <w:szCs w:val="28"/>
        </w:rPr>
      </w:pPr>
      <w:r>
        <w:rPr>
          <w:b/>
          <w:sz w:val="28"/>
          <w:szCs w:val="28"/>
        </w:rPr>
        <w:t xml:space="preserve">Abstrakt </w:t>
      </w:r>
    </w:p>
    <w:p w:rsidR="00A45623" w:rsidRDefault="00A45623" w:rsidP="00767A5F">
      <w:pPr>
        <w:pStyle w:val="Standard"/>
        <w:keepLines/>
        <w:spacing w:before="120" w:after="120" w:line="360" w:lineRule="auto"/>
      </w:pPr>
      <w:r>
        <w:t>Tento konspekt se zabývá výhodami a nevýhodami elektronických voleb v demokratických státech. Zaměřuje se na jejich vliv na volební účast, bezpečnost a důvěru občanů v tento systém. Na příkladu Estonska ukazuje, jak elektronické hlasování funguje v praxi a jaké přináší problémy. Z výsledků vyplývá, že e-volby účast výrazně nezvyšují a hlavní výzvou zůstává otázka bezpečnosti a důvěry. Elektronické volby tak představují moderní, ale stále citlivé téma pro budoucnost demokracie.</w:t>
      </w:r>
    </w:p>
    <w:p w:rsidR="0059559C" w:rsidRDefault="0059559C" w:rsidP="00767A5F">
      <w:pPr>
        <w:pStyle w:val="Normlnweb"/>
        <w:spacing w:line="360" w:lineRule="auto"/>
      </w:pPr>
      <w:r>
        <w:rPr>
          <w:rStyle w:val="Siln"/>
        </w:rPr>
        <w:t>Klíčová slova:</w:t>
      </w:r>
      <w:r>
        <w:t xml:space="preserve"> elektronické volby, e-volby, Estonsko, volební účast, bezpečnost, důvěra</w:t>
      </w:r>
    </w:p>
    <w:p w:rsidR="0059559C" w:rsidRDefault="0059559C" w:rsidP="00767A5F">
      <w:pPr>
        <w:pStyle w:val="Standard"/>
        <w:keepLines/>
        <w:spacing w:before="120" w:after="120" w:line="360" w:lineRule="auto"/>
      </w:pPr>
    </w:p>
    <w:p w:rsidR="0059559C" w:rsidRPr="0059559C" w:rsidRDefault="0059559C" w:rsidP="00767A5F">
      <w:pPr>
        <w:spacing w:before="100" w:beforeAutospacing="1" w:after="100" w:afterAutospacing="1" w:line="360" w:lineRule="auto"/>
        <w:outlineLvl w:val="2"/>
        <w:rPr>
          <w:rFonts w:eastAsia="Times New Roman" w:cs="Times New Roman"/>
          <w:b/>
          <w:bCs/>
          <w:sz w:val="28"/>
          <w:szCs w:val="28"/>
          <w:lang w:val="cs-CZ" w:eastAsia="cs-CZ"/>
        </w:rPr>
      </w:pPr>
      <w:r w:rsidRPr="0059559C">
        <w:rPr>
          <w:rFonts w:eastAsia="Times New Roman" w:cs="Times New Roman"/>
          <w:b/>
          <w:bCs/>
          <w:sz w:val="28"/>
          <w:szCs w:val="28"/>
          <w:lang w:val="cs-CZ" w:eastAsia="cs-CZ"/>
        </w:rPr>
        <w:t>Abstract</w:t>
      </w:r>
    </w:p>
    <w:p w:rsidR="0059559C" w:rsidRPr="0059559C" w:rsidRDefault="0059559C" w:rsidP="00767A5F">
      <w:pPr>
        <w:spacing w:before="100" w:beforeAutospacing="1" w:after="100" w:afterAutospacing="1" w:line="360" w:lineRule="auto"/>
        <w:rPr>
          <w:rFonts w:eastAsia="Times New Roman" w:cs="Times New Roman"/>
          <w:szCs w:val="24"/>
          <w:lang w:val="cs-CZ" w:eastAsia="cs-CZ"/>
        </w:rPr>
      </w:pPr>
      <w:r w:rsidRPr="0059559C">
        <w:rPr>
          <w:rFonts w:eastAsia="Times New Roman" w:cs="Times New Roman"/>
          <w:szCs w:val="24"/>
          <w:lang w:val="cs-CZ" w:eastAsia="cs-CZ"/>
        </w:rPr>
        <w:t>This paper focuses on the advantages and disadvantages of electronic voting in democratic countries. It examines their impact on voter turnout, security, and public trust in the system. Using Estonia as an example, it shows how online voting works in practice and what problems it brings. The findings indicate that e-voting does not significantly increase participation, while security and trust remain the main challenges. Electronic voting is therefore a modern but still sensitive topic for the future of democracy.</w:t>
      </w:r>
    </w:p>
    <w:p w:rsidR="0059559C" w:rsidRDefault="0059559C" w:rsidP="00767A5F">
      <w:pPr>
        <w:pStyle w:val="Normlnweb"/>
        <w:spacing w:line="360" w:lineRule="auto"/>
      </w:pPr>
      <w:r>
        <w:rPr>
          <w:rStyle w:val="Siln"/>
        </w:rPr>
        <w:t>Keywords:</w:t>
      </w:r>
      <w:r>
        <w:t xml:space="preserve"> electronic voting, e-voting, Estonia, voter turnout, security, trust</w:t>
      </w:r>
    </w:p>
    <w:p w:rsidR="0059559C" w:rsidRPr="00923B89" w:rsidRDefault="0059559C" w:rsidP="00767A5F">
      <w:pPr>
        <w:pStyle w:val="Standard"/>
        <w:keepLines/>
        <w:spacing w:before="120" w:after="120" w:line="360" w:lineRule="auto"/>
        <w:rPr>
          <w:b/>
          <w:sz w:val="28"/>
          <w:szCs w:val="28"/>
        </w:rPr>
      </w:pPr>
    </w:p>
    <w:p w:rsidR="00DF2BC0" w:rsidRDefault="00DF2BC0" w:rsidP="00767A5F">
      <w:pPr>
        <w:pStyle w:val="Standard"/>
        <w:keepLines/>
        <w:spacing w:before="120" w:after="120" w:line="360" w:lineRule="auto"/>
        <w:rPr>
          <w:color w:val="FF0000"/>
          <w:sz w:val="28"/>
          <w:szCs w:val="28"/>
        </w:rPr>
      </w:pPr>
    </w:p>
    <w:p w:rsidR="0059559C" w:rsidRDefault="0059559C" w:rsidP="00767A5F">
      <w:pPr>
        <w:pStyle w:val="Standard"/>
        <w:keepLines/>
        <w:spacing w:before="120" w:after="120" w:line="360" w:lineRule="auto"/>
        <w:rPr>
          <w:b/>
          <w:sz w:val="28"/>
          <w:szCs w:val="28"/>
        </w:rPr>
      </w:pPr>
    </w:p>
    <w:p w:rsidR="0059559C" w:rsidRDefault="0059559C" w:rsidP="00767A5F">
      <w:pPr>
        <w:pStyle w:val="Standard"/>
        <w:keepLines/>
        <w:spacing w:before="120" w:after="120" w:line="360" w:lineRule="auto"/>
        <w:rPr>
          <w:b/>
          <w:sz w:val="28"/>
          <w:szCs w:val="28"/>
        </w:rPr>
      </w:pPr>
    </w:p>
    <w:p w:rsidR="0059559C" w:rsidRDefault="0059559C" w:rsidP="00767A5F">
      <w:pPr>
        <w:pStyle w:val="Standard"/>
        <w:keepLines/>
        <w:spacing w:before="120" w:after="120" w:line="360" w:lineRule="auto"/>
        <w:rPr>
          <w:b/>
          <w:sz w:val="28"/>
          <w:szCs w:val="28"/>
        </w:rPr>
      </w:pPr>
    </w:p>
    <w:p w:rsidR="0059559C" w:rsidRDefault="0059559C" w:rsidP="00767A5F">
      <w:pPr>
        <w:pStyle w:val="Standard"/>
        <w:keepLines/>
        <w:spacing w:before="120" w:after="120" w:line="360" w:lineRule="auto"/>
        <w:rPr>
          <w:b/>
          <w:sz w:val="28"/>
          <w:szCs w:val="28"/>
        </w:rPr>
      </w:pPr>
    </w:p>
    <w:p w:rsidR="00DF2BC0" w:rsidRPr="00923B89" w:rsidRDefault="003A3389" w:rsidP="00767A5F">
      <w:pPr>
        <w:pStyle w:val="Standard"/>
        <w:keepLines/>
        <w:spacing w:before="120" w:after="120" w:line="360" w:lineRule="auto"/>
        <w:jc w:val="both"/>
        <w:rPr>
          <w:b/>
          <w:sz w:val="28"/>
          <w:szCs w:val="28"/>
        </w:rPr>
      </w:pPr>
      <w:r w:rsidRPr="00923B89">
        <w:rPr>
          <w:b/>
          <w:sz w:val="28"/>
          <w:szCs w:val="28"/>
        </w:rPr>
        <w:lastRenderedPageBreak/>
        <w:t>Úvod</w:t>
      </w:r>
    </w:p>
    <w:p w:rsidR="006B1F41" w:rsidRDefault="00EE559A" w:rsidP="00767A5F">
      <w:pPr>
        <w:pStyle w:val="Standard"/>
        <w:keepLines/>
        <w:spacing w:before="120" w:after="120" w:line="360" w:lineRule="auto"/>
        <w:jc w:val="both"/>
        <w:rPr>
          <w:color w:val="000000" w:themeColor="text1"/>
        </w:rPr>
      </w:pPr>
      <w:r>
        <w:rPr>
          <w:color w:val="000000" w:themeColor="text1"/>
        </w:rPr>
        <w:t>V tomto konspektu se zaměřím na přínosy a rizika</w:t>
      </w:r>
      <w:r w:rsidR="006B1F41">
        <w:rPr>
          <w:color w:val="000000" w:themeColor="text1"/>
        </w:rPr>
        <w:t xml:space="preserve"> elektronických</w:t>
      </w:r>
      <w:r>
        <w:rPr>
          <w:color w:val="000000" w:themeColor="text1"/>
        </w:rPr>
        <w:t xml:space="preserve"> voleb </w:t>
      </w:r>
      <w:r w:rsidR="007159E8">
        <w:rPr>
          <w:color w:val="000000" w:themeColor="text1"/>
        </w:rPr>
        <w:t>v demokratických státech. P</w:t>
      </w:r>
      <w:r w:rsidR="00B25731">
        <w:rPr>
          <w:color w:val="000000" w:themeColor="text1"/>
        </w:rPr>
        <w:t>orovnám zkušenosti různých států</w:t>
      </w:r>
      <w:r w:rsidR="007159E8">
        <w:rPr>
          <w:color w:val="000000" w:themeColor="text1"/>
        </w:rPr>
        <w:t xml:space="preserve"> a zhodnotím dopady </w:t>
      </w:r>
      <w:r w:rsidR="006B1F41">
        <w:rPr>
          <w:color w:val="000000" w:themeColor="text1"/>
        </w:rPr>
        <w:t xml:space="preserve"> elektronických </w:t>
      </w:r>
      <w:r w:rsidR="007159E8">
        <w:rPr>
          <w:color w:val="000000" w:themeColor="text1"/>
        </w:rPr>
        <w:t xml:space="preserve">voleb na volební účast, důvěru občanů v tento systém a rizika které mohou nastat. </w:t>
      </w:r>
      <w:r w:rsidR="006B1F41">
        <w:rPr>
          <w:color w:val="000000" w:themeColor="text1"/>
        </w:rPr>
        <w:t xml:space="preserve">Zaměřím se na takzvané nekontrolované prostředí </w:t>
      </w:r>
      <w:r w:rsidR="006B1F41">
        <w:t>(Hejl, 2012, s. 13).</w:t>
      </w:r>
      <w:r w:rsidR="006B1F41">
        <w:rPr>
          <w:color w:val="000000" w:themeColor="text1"/>
        </w:rPr>
        <w:t xml:space="preserve"> </w:t>
      </w:r>
      <w:r w:rsidR="007159E8">
        <w:rPr>
          <w:color w:val="000000" w:themeColor="text1"/>
        </w:rPr>
        <w:t xml:space="preserve"> </w:t>
      </w:r>
    </w:p>
    <w:p w:rsidR="00DF2BC0" w:rsidRDefault="006B1F41" w:rsidP="00767A5F">
      <w:pPr>
        <w:pStyle w:val="Standard"/>
        <w:keepLines/>
        <w:spacing w:before="120" w:after="120" w:line="360" w:lineRule="auto"/>
        <w:jc w:val="both"/>
      </w:pPr>
      <w:r>
        <w:rPr>
          <w:color w:val="000000" w:themeColor="text1"/>
        </w:rPr>
        <w:t xml:space="preserve">Elektronické </w:t>
      </w:r>
      <w:r w:rsidR="00946E25">
        <w:rPr>
          <w:color w:val="000000" w:themeColor="text1"/>
        </w:rPr>
        <w:t>volby, označované také jako e</w:t>
      </w:r>
      <w:r w:rsidR="004E6393">
        <w:rPr>
          <w:color w:val="000000" w:themeColor="text1"/>
        </w:rPr>
        <w:t xml:space="preserve">-volby </w:t>
      </w:r>
      <w:r>
        <w:rPr>
          <w:color w:val="000000" w:themeColor="text1"/>
        </w:rPr>
        <w:t>či</w:t>
      </w:r>
      <w:r w:rsidR="004E6393">
        <w:rPr>
          <w:color w:val="000000" w:themeColor="text1"/>
        </w:rPr>
        <w:t xml:space="preserve"> </w:t>
      </w:r>
      <w:r>
        <w:rPr>
          <w:color w:val="000000" w:themeColor="text1"/>
        </w:rPr>
        <w:t xml:space="preserve">online </w:t>
      </w:r>
      <w:r w:rsidR="004E6393">
        <w:rPr>
          <w:color w:val="000000" w:themeColor="text1"/>
        </w:rPr>
        <w:t xml:space="preserve">volby, </w:t>
      </w:r>
      <w:r w:rsidR="00946E25">
        <w:rPr>
          <w:color w:val="000000" w:themeColor="text1"/>
        </w:rPr>
        <w:t xml:space="preserve"> jsou moderní způsob hlasování, při kterém mohou </w:t>
      </w:r>
      <w:r w:rsidR="004E6393">
        <w:rPr>
          <w:color w:val="000000" w:themeColor="text1"/>
        </w:rPr>
        <w:t>občané odevzdat svůj hlas po internetu pomocí svých digitálních zařízeních.</w:t>
      </w:r>
      <w:r>
        <w:rPr>
          <w:color w:val="000000" w:themeColor="text1"/>
        </w:rPr>
        <w:t xml:space="preserve"> </w:t>
      </w:r>
      <w:r w:rsidR="004E6393">
        <w:rPr>
          <w:color w:val="000000" w:themeColor="text1"/>
        </w:rPr>
        <w:t xml:space="preserve">S rozvojem internetu a moderních zařízeních je toto téma čím dál tím více aktuální. </w:t>
      </w:r>
      <w:r w:rsidR="00EE559A">
        <w:rPr>
          <w:color w:val="000000" w:themeColor="text1"/>
        </w:rPr>
        <w:t xml:space="preserve">Je to přirozené, lidé se snaží každé odvětví lidské činnosti zjednodušovat a modernizovat. </w:t>
      </w:r>
      <w:r w:rsidR="00B25731">
        <w:rPr>
          <w:color w:val="000000" w:themeColor="text1"/>
        </w:rPr>
        <w:t>O elektronické</w:t>
      </w:r>
      <w:r>
        <w:rPr>
          <w:color w:val="000000" w:themeColor="text1"/>
        </w:rPr>
        <w:t xml:space="preserve"> volby </w:t>
      </w:r>
      <w:r w:rsidR="00B25731">
        <w:rPr>
          <w:color w:val="000000" w:themeColor="text1"/>
        </w:rPr>
        <w:t>se p</w:t>
      </w:r>
      <w:r w:rsidR="00311CD4">
        <w:rPr>
          <w:color w:val="000000" w:themeColor="text1"/>
        </w:rPr>
        <w:t>okoušelo ve větší či menší míře</w:t>
      </w:r>
      <w:r w:rsidR="00B25731">
        <w:rPr>
          <w:color w:val="000000" w:themeColor="text1"/>
        </w:rPr>
        <w:t xml:space="preserve"> již větší počet zemí. Například Estonsko, Švýcarsko, Španělsko, Norsko nebo Kanada </w:t>
      </w:r>
      <w:r w:rsidR="00B25731">
        <w:t>(Ministerstvo vnitra ČR, 2018).</w:t>
      </w:r>
    </w:p>
    <w:p w:rsidR="00311CD4" w:rsidRPr="00923B89" w:rsidRDefault="00311CD4" w:rsidP="00767A5F">
      <w:pPr>
        <w:pStyle w:val="Standard"/>
        <w:keepLines/>
        <w:spacing w:before="120" w:after="120" w:line="360" w:lineRule="auto"/>
        <w:jc w:val="both"/>
        <w:rPr>
          <w:b/>
          <w:sz w:val="28"/>
          <w:szCs w:val="28"/>
        </w:rPr>
      </w:pPr>
      <w:r>
        <w:rPr>
          <w:b/>
          <w:sz w:val="28"/>
          <w:szCs w:val="28"/>
        </w:rPr>
        <w:t>Dopad elektonických voleb na volební účast</w:t>
      </w:r>
    </w:p>
    <w:p w:rsidR="009B4C99" w:rsidRDefault="00D55E5E" w:rsidP="00767A5F">
      <w:pPr>
        <w:pStyle w:val="Standard"/>
        <w:keepLines/>
        <w:spacing w:before="120" w:after="120" w:line="360" w:lineRule="auto"/>
        <w:jc w:val="both"/>
      </w:pPr>
      <w:r>
        <w:t>Odpověd na otázku zda mají elektronické volby na volební účast vliv není jednoduchá. Podle dat, který máme ze zemí, kde jsou nebo byly volby zavedené, je vliv na účast spíše banální. Pokud se podíváme například do Estonska, které je elektronickými volbami nejvíce známo, zjistíme</w:t>
      </w:r>
      <w:r w:rsidR="00C5494B">
        <w:t xml:space="preserve">, že internetové hlasování nemělo na účast příliš velký vliv. </w:t>
      </w:r>
      <w:r w:rsidR="009B4C99" w:rsidRPr="009B4C99">
        <w:t>V komunálních volbách v roce 2005 se účast zvýšila o 0,3 %, v roce 2009 o 2,6 % a v parlamentních volbách 2011 o 3,5 %</w:t>
      </w:r>
      <w:r w:rsidR="009B4C99">
        <w:t xml:space="preserve"> (Ministerstvo vnitra ČR, 2018, s. 2). To, že se účast zvedá nelze jednoznačně připsat elektronickým volbám. </w:t>
      </w:r>
      <w:r w:rsidR="00445EF2">
        <w:t>To nám</w:t>
      </w:r>
      <w:r w:rsidR="009B4C99">
        <w:t xml:space="preserve"> ukazuje</w:t>
      </w:r>
      <w:r w:rsidR="00445EF2">
        <w:t xml:space="preserve"> na příkladu</w:t>
      </w:r>
      <w:r w:rsidR="009B4C99">
        <w:t xml:space="preserve"> obrázek 1</w:t>
      </w:r>
      <w:r w:rsidR="00445EF2">
        <w:t xml:space="preserve">. </w:t>
      </w:r>
      <w:r w:rsidR="00C16899">
        <w:t xml:space="preserve"> Ani v dalších zemí se zvýšení volební účasti nepotvrdilo (Ministerstvo vnitra ČR, 2018 ).</w:t>
      </w:r>
    </w:p>
    <w:p w:rsidR="00445EF2" w:rsidRDefault="00445EF2" w:rsidP="00767A5F">
      <w:pPr>
        <w:pStyle w:val="Standard"/>
        <w:keepNext/>
        <w:keepLines/>
        <w:spacing w:before="120" w:after="120" w:line="360" w:lineRule="auto"/>
        <w:jc w:val="both"/>
      </w:pPr>
      <w:r>
        <w:rPr>
          <w:noProof/>
          <w:lang w:eastAsia="cs-CZ"/>
        </w:rPr>
        <w:drawing>
          <wp:inline distT="0" distB="0" distL="0" distR="0">
            <wp:extent cx="5756910" cy="243332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56910" cy="2433320"/>
                    </a:xfrm>
                    <a:prstGeom prst="rect">
                      <a:avLst/>
                    </a:prstGeom>
                    <a:noFill/>
                    <a:ln w="9525">
                      <a:noFill/>
                      <a:miter lim="800000"/>
                      <a:headEnd/>
                      <a:tailEnd/>
                    </a:ln>
                  </pic:spPr>
                </pic:pic>
              </a:graphicData>
            </a:graphic>
          </wp:inline>
        </w:drawing>
      </w:r>
    </w:p>
    <w:p w:rsidR="00767A5F" w:rsidRPr="00767A5F" w:rsidRDefault="00445EF2" w:rsidP="00767A5F">
      <w:pPr>
        <w:pStyle w:val="Titulek"/>
        <w:spacing w:line="360" w:lineRule="auto"/>
        <w:jc w:val="both"/>
      </w:pPr>
      <w:r>
        <w:t xml:space="preserve">Obrázek </w:t>
      </w:r>
      <w:fldSimple w:instr=" SEQ Obrázek \* ARABIC ">
        <w:r w:rsidR="00207F36">
          <w:rPr>
            <w:noProof/>
          </w:rPr>
          <w:t>1</w:t>
        </w:r>
      </w:fldSimple>
      <w:r>
        <w:t xml:space="preserve"> Rozdíl mezi volbami 2003 a volbami 2007, kde už hrály roli elektronické volby </w:t>
      </w:r>
      <w:r w:rsidRPr="00445EF2">
        <w:t>(Bochsler, 2009, s. 10)</w:t>
      </w:r>
    </w:p>
    <w:p w:rsidR="00DF2BC0" w:rsidRDefault="00C16899" w:rsidP="00767A5F">
      <w:pPr>
        <w:pStyle w:val="Standard"/>
        <w:keepLines/>
        <w:spacing w:before="120" w:after="120" w:line="360" w:lineRule="auto"/>
        <w:jc w:val="both"/>
        <w:rPr>
          <w:b/>
          <w:sz w:val="28"/>
          <w:szCs w:val="28"/>
        </w:rPr>
      </w:pPr>
      <w:r>
        <w:rPr>
          <w:b/>
          <w:sz w:val="28"/>
          <w:szCs w:val="28"/>
        </w:rPr>
        <w:lastRenderedPageBreak/>
        <w:t>Bezpečnost a rizika</w:t>
      </w:r>
    </w:p>
    <w:p w:rsidR="004033C7" w:rsidRDefault="00B907B4" w:rsidP="00767A5F">
      <w:pPr>
        <w:pStyle w:val="Standard"/>
        <w:keepLines/>
        <w:spacing w:before="120" w:after="120" w:line="360" w:lineRule="auto"/>
        <w:jc w:val="both"/>
      </w:pPr>
      <w:r>
        <w:rPr>
          <w:color w:val="000000" w:themeColor="text1"/>
        </w:rPr>
        <w:t>Bezpečnost je klíčové otázka, protože volby jsou jedny z nejdůležitějších prvků  pro demokracii.</w:t>
      </w:r>
      <w:r w:rsidR="00C46D72">
        <w:rPr>
          <w:color w:val="000000" w:themeColor="text1"/>
        </w:rPr>
        <w:t xml:space="preserve"> Je spousta způsobů jak lze internetové volby napadnout. Existují hrozby typu </w:t>
      </w:r>
      <w:r w:rsidR="00C46D72">
        <w:t>Špionážního softwaru typu trojský kůň pro změnu nebo sledování hlasů, podvržení identity, automatizovaného nákupu hlasů a mnoho dalších</w:t>
      </w:r>
      <w:r w:rsidR="00C46D72" w:rsidRPr="00C46D72">
        <w:t xml:space="preserve"> </w:t>
      </w:r>
      <w:r w:rsidR="00C46D72">
        <w:t>(Lauer, 2004, s. 182).</w:t>
      </w:r>
      <w:r w:rsidR="00774CB7">
        <w:t xml:space="preserve"> </w:t>
      </w:r>
      <w:r w:rsidR="00886F76">
        <w:t>Z</w:t>
      </w:r>
      <w:r w:rsidR="004033C7">
        <w:t>práva ICAVM (The UK Independent Commission on Alternative Voting Methods)</w:t>
      </w:r>
      <w:r w:rsidR="00886F76">
        <w:t xml:space="preserve"> říká </w:t>
      </w:r>
      <w:r w:rsidR="004033C7">
        <w:t>:</w:t>
      </w:r>
      <w:r w:rsidR="004033C7">
        <w:t xml:space="preserve"> </w:t>
      </w:r>
      <w:r w:rsidR="004033C7">
        <w:t>„One thing is for certain: public confidence in democratic elections takes decades to develop and far less time to destroy.“</w:t>
      </w:r>
      <w:r w:rsidR="004033C7">
        <w:t xml:space="preserve"> V překladu: </w:t>
      </w:r>
      <w:r w:rsidR="004033C7">
        <w:t>„</w:t>
      </w:r>
      <w:r w:rsidR="004033C7" w:rsidRPr="004033C7">
        <w:t>Jedna věc je jistá: důvěra veřejnosti v demokratické volby se buduje po celá desetiletí a</w:t>
      </w:r>
      <w:r w:rsidR="00886F76">
        <w:t>le</w:t>
      </w:r>
      <w:r w:rsidR="004033C7" w:rsidRPr="004033C7">
        <w:t xml:space="preserve"> </w:t>
      </w:r>
      <w:r w:rsidR="00886F76">
        <w:t xml:space="preserve">lze ji zničit </w:t>
      </w:r>
      <w:r w:rsidR="004033C7" w:rsidRPr="004033C7">
        <w:t xml:space="preserve">mnohem rychleji. </w:t>
      </w:r>
      <w:r w:rsidR="004033C7">
        <w:t>“</w:t>
      </w:r>
      <w:r w:rsidR="004033C7">
        <w:t xml:space="preserve"> </w:t>
      </w:r>
      <w:r w:rsidR="00886F76">
        <w:t xml:space="preserve">Tento citát vystihuje důvod proč elektronické volby nejsou tolik rozšířeny. Ztráta důvěry občanů v hlasování by mělo dlouhododbé dopady na demokracii. </w:t>
      </w:r>
    </w:p>
    <w:p w:rsidR="0063184D" w:rsidRDefault="0063184D" w:rsidP="00767A5F">
      <w:pPr>
        <w:pStyle w:val="Standard"/>
        <w:keepLines/>
        <w:spacing w:before="120" w:after="120" w:line="360" w:lineRule="auto"/>
        <w:jc w:val="both"/>
        <w:rPr>
          <w:b/>
          <w:sz w:val="28"/>
          <w:szCs w:val="28"/>
        </w:rPr>
      </w:pPr>
      <w:r>
        <w:rPr>
          <w:b/>
          <w:sz w:val="28"/>
          <w:szCs w:val="28"/>
        </w:rPr>
        <w:t>Estonsko</w:t>
      </w:r>
    </w:p>
    <w:p w:rsidR="00886F76" w:rsidRDefault="00642F9A" w:rsidP="00767A5F">
      <w:pPr>
        <w:pStyle w:val="Standard"/>
        <w:keepLines/>
        <w:spacing w:before="120" w:after="120" w:line="360" w:lineRule="auto"/>
        <w:jc w:val="both"/>
      </w:pPr>
      <w:r>
        <w:t>Estonsko je příklad země, kde elektronické hlasování funguje. V této zemi mohou občané volit již od roku 2005. Stačí jim k tomu připojení k internetu a čipový občanský průkaz. (ČT24, 2024). V praxi to funguje tak, že voliči vloží svůj občanský průkaz s čipem do čtečky</w:t>
      </w:r>
      <w:r w:rsidR="00207F36">
        <w:t xml:space="preserve"> – viz obrázek 2</w:t>
      </w:r>
      <w:r>
        <w:t>, kterou zapojí do svého zařízení. Poté provedou autentizaci, zobrazí se jim kandidátní listina a</w:t>
      </w:r>
      <w:r w:rsidR="00877EE0">
        <w:t xml:space="preserve"> provedou svojí volbu. Volič může svůj hlas libovolně měnit až do uzavření online hlasování. (e-politics.cz, 2013). Pořád ale přetrvává riziko, že systém lze takzvaně hacknout dle zprávy </w:t>
      </w:r>
      <w:r w:rsidR="00877EE0" w:rsidRPr="00877EE0">
        <w:t>Organizace pro bezpečnost a spolupráci v Evropě (OBSE)</w:t>
      </w:r>
      <w:r w:rsidR="00877EE0">
        <w:t xml:space="preserve">. </w:t>
      </w:r>
      <w:r>
        <w:t xml:space="preserve"> </w:t>
      </w:r>
    </w:p>
    <w:p w:rsidR="00207F36" w:rsidRDefault="00207F36" w:rsidP="00767A5F">
      <w:pPr>
        <w:pStyle w:val="Standard"/>
        <w:keepNext/>
        <w:keepLines/>
        <w:spacing w:before="120" w:after="120" w:line="360" w:lineRule="auto"/>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3.8pt;height:23.8pt"/>
        </w:pict>
      </w:r>
      <w:r w:rsidRPr="00207F36">
        <w:t xml:space="preserve"> </w:t>
      </w:r>
      <w:r>
        <w:rPr>
          <w:noProof/>
          <w:lang w:eastAsia="cs-CZ"/>
        </w:rPr>
        <w:drawing>
          <wp:inline distT="0" distB="0" distL="0" distR="0">
            <wp:extent cx="5133396" cy="2888070"/>
            <wp:effectExtent l="19050" t="0" r="0" b="0"/>
            <wp:docPr id="9" name="obrázek 9" descr="Estonian e-Identity card: entering the contactless world - e-Es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tonian e-Identity card: entering the contactless world - e-Estonia"/>
                    <pic:cNvPicPr>
                      <a:picLocks noChangeAspect="1" noChangeArrowheads="1"/>
                    </pic:cNvPicPr>
                  </pic:nvPicPr>
                  <pic:blipFill>
                    <a:blip r:embed="rId8" cstate="print"/>
                    <a:srcRect/>
                    <a:stretch>
                      <a:fillRect/>
                    </a:stretch>
                  </pic:blipFill>
                  <pic:spPr bwMode="auto">
                    <a:xfrm>
                      <a:off x="0" y="0"/>
                      <a:ext cx="5132657" cy="2887654"/>
                    </a:xfrm>
                    <a:prstGeom prst="rect">
                      <a:avLst/>
                    </a:prstGeom>
                    <a:noFill/>
                    <a:ln w="9525">
                      <a:noFill/>
                      <a:miter lim="800000"/>
                      <a:headEnd/>
                      <a:tailEnd/>
                    </a:ln>
                  </pic:spPr>
                </pic:pic>
              </a:graphicData>
            </a:graphic>
          </wp:inline>
        </w:drawing>
      </w:r>
    </w:p>
    <w:p w:rsidR="00767A5F" w:rsidRPr="00767A5F" w:rsidRDefault="00207F36" w:rsidP="00767A5F">
      <w:pPr>
        <w:pStyle w:val="Titulek"/>
        <w:spacing w:line="360" w:lineRule="auto"/>
        <w:jc w:val="both"/>
      </w:pPr>
      <w:r>
        <w:t xml:space="preserve">Obrázek </w:t>
      </w:r>
      <w:fldSimple w:instr=" SEQ Obrázek \* ARABIC ">
        <w:r>
          <w:rPr>
            <w:noProof/>
          </w:rPr>
          <w:t>2</w:t>
        </w:r>
      </w:fldSimple>
      <w:r>
        <w:t xml:space="preserve"> </w:t>
      </w:r>
      <w:r w:rsidRPr="00655BE9">
        <w:t>Ukázka estonské elektronické občanské karty (e-ID), která umožňuje bezpečné přihlášení do systému e-volby</w:t>
      </w:r>
      <w:r>
        <w:t xml:space="preserve"> pomocí čtečky karet ( e – Estonia, 2017)</w:t>
      </w:r>
    </w:p>
    <w:p w:rsidR="00767A5F" w:rsidRDefault="00767A5F" w:rsidP="00767A5F">
      <w:pPr>
        <w:pStyle w:val="Standard"/>
        <w:keepLines/>
        <w:spacing w:before="120" w:after="120" w:line="360" w:lineRule="auto"/>
        <w:jc w:val="both"/>
        <w:rPr>
          <w:b/>
          <w:sz w:val="28"/>
          <w:szCs w:val="28"/>
        </w:rPr>
      </w:pPr>
    </w:p>
    <w:p w:rsidR="00207F36" w:rsidRDefault="00207F36" w:rsidP="00767A5F">
      <w:pPr>
        <w:pStyle w:val="Standard"/>
        <w:keepLines/>
        <w:spacing w:before="120" w:after="120" w:line="360" w:lineRule="auto"/>
        <w:jc w:val="both"/>
        <w:rPr>
          <w:b/>
          <w:sz w:val="28"/>
          <w:szCs w:val="28"/>
        </w:rPr>
      </w:pPr>
      <w:r>
        <w:rPr>
          <w:b/>
          <w:sz w:val="28"/>
          <w:szCs w:val="28"/>
        </w:rPr>
        <w:t>Závěr</w:t>
      </w:r>
    </w:p>
    <w:p w:rsidR="00207F36" w:rsidRPr="00207F36" w:rsidRDefault="00C25588" w:rsidP="00767A5F">
      <w:pPr>
        <w:spacing w:line="360" w:lineRule="auto"/>
        <w:jc w:val="both"/>
      </w:pPr>
      <w:r>
        <w:t xml:space="preserve">Elektornické volby je moderní způsob hlasování a výzva pro demokratické vlády. Mají potenciál zjednodušit systém voleb. </w:t>
      </w:r>
      <w:r w:rsidR="001F6803">
        <w:t xml:space="preserve">Zatím ale čelí několika problémům. Co se týče zvýšeni volební účasti, nelze jednoznačně prokázat vliv elektronických voleb na to. </w:t>
      </w:r>
      <w:r w:rsidR="003B500C">
        <w:t xml:space="preserve">Spiše je více komfortní pro lidi co by volili i tak. Zásadním tématem je bezpečnost a důvěra v tento systém. Pořád existuje velké množství druhů ohrožení. Téma elektronických voleb je tedy zatím spíše výzva do budoucnosti než reálné téma pro většinu států zatím.  </w:t>
      </w:r>
    </w:p>
    <w:p w:rsidR="003B500C" w:rsidRDefault="003B500C" w:rsidP="003B500C">
      <w:pPr>
        <w:pStyle w:val="Standard"/>
        <w:keepLines/>
        <w:spacing w:before="120" w:after="120" w:line="276" w:lineRule="auto"/>
        <w:rPr>
          <w:b/>
          <w:sz w:val="28"/>
          <w:szCs w:val="28"/>
        </w:rPr>
      </w:pPr>
      <w:r>
        <w:rPr>
          <w:b/>
          <w:sz w:val="28"/>
          <w:szCs w:val="28"/>
        </w:rPr>
        <w:t>Přehled zdrojů:</w:t>
      </w:r>
    </w:p>
    <w:p w:rsidR="00A45623" w:rsidRDefault="00A45623" w:rsidP="00A45623">
      <w:pPr>
        <w:pStyle w:val="Normlnweb"/>
      </w:pPr>
      <w:r w:rsidRPr="00A45623">
        <w:rPr>
          <w:rStyle w:val="Siln"/>
          <w:b w:val="0"/>
        </w:rPr>
        <w:t>Bochsler, D. (2009).</w:t>
      </w:r>
      <w:r w:rsidRPr="00A45623">
        <w:t xml:space="preserve"> </w:t>
      </w:r>
      <w:r w:rsidRPr="00A45623">
        <w:rPr>
          <w:rStyle w:val="Zvraznn"/>
          <w:rFonts w:eastAsiaTheme="minorEastAsia"/>
        </w:rPr>
        <w:t>Can the Internet increase political participation? An analysis of remote</w:t>
      </w:r>
      <w:r>
        <w:rPr>
          <w:rStyle w:val="Zvraznn"/>
          <w:rFonts w:eastAsiaTheme="minorEastAsia"/>
        </w:rPr>
        <w:t xml:space="preserve"> electronic voting’s effect on turnout.</w:t>
      </w:r>
      <w:r>
        <w:t xml:space="preserve"> Paper prepared for presentation at the ECPR General Conference, Potsdam.</w:t>
      </w:r>
    </w:p>
    <w:p w:rsidR="00A45623" w:rsidRDefault="00A45623" w:rsidP="00A45623">
      <w:pPr>
        <w:pStyle w:val="Normlnweb"/>
      </w:pPr>
      <w:r w:rsidRPr="00A45623">
        <w:rPr>
          <w:rStyle w:val="Siln"/>
          <w:b w:val="0"/>
        </w:rPr>
        <w:t>ČT24. (2024, 5. června).</w:t>
      </w:r>
      <w:r>
        <w:t xml:space="preserve"> </w:t>
      </w:r>
      <w:r>
        <w:rPr>
          <w:rStyle w:val="Zvraznn"/>
          <w:rFonts w:eastAsiaTheme="minorEastAsia"/>
        </w:rPr>
        <w:t>Stačí připojení k internetu a občanka s čipem. Estonci už skoro dvacet let volí on-line.</w:t>
      </w:r>
      <w:r>
        <w:t xml:space="preserve"> Dostupné z: </w:t>
      </w:r>
      <w:hyperlink r:id="rId9" w:tgtFrame="_new" w:history="1">
        <w:r>
          <w:rPr>
            <w:rStyle w:val="Hypertextovodkaz"/>
          </w:rPr>
          <w:t>https://ct24.ceskatelevize.cz/clanek/svet/staci-pripojeni-k-internetu-a-obcanka-s-cipem-estonci-uz-skoro-dvacet-let-voli-on-line-349932</w:t>
        </w:r>
      </w:hyperlink>
    </w:p>
    <w:p w:rsidR="00A45623" w:rsidRDefault="00A45623" w:rsidP="00A45623">
      <w:pPr>
        <w:pStyle w:val="Normlnweb"/>
      </w:pPr>
      <w:r w:rsidRPr="00A45623">
        <w:rPr>
          <w:rStyle w:val="Siln"/>
          <w:b w:val="0"/>
        </w:rPr>
        <w:t>e</w:t>
      </w:r>
      <w:r w:rsidRPr="00A45623">
        <w:rPr>
          <w:rStyle w:val="Siln"/>
        </w:rPr>
        <w:t>-</w:t>
      </w:r>
      <w:r w:rsidRPr="00A45623">
        <w:rPr>
          <w:rStyle w:val="Siln"/>
          <w:b w:val="0"/>
        </w:rPr>
        <w:t>Estonia. (2017, 14. června).</w:t>
      </w:r>
      <w:r>
        <w:t xml:space="preserve"> </w:t>
      </w:r>
      <w:r>
        <w:rPr>
          <w:rStyle w:val="Zvraznn"/>
          <w:rFonts w:eastAsiaTheme="minorEastAsia"/>
        </w:rPr>
        <w:t>Estonian e-Identity card: entering the contactless world.</w:t>
      </w:r>
      <w:r>
        <w:t xml:space="preserve"> Dostupné z: </w:t>
      </w:r>
      <w:hyperlink r:id="rId10" w:tgtFrame="_new" w:history="1">
        <w:r>
          <w:rPr>
            <w:rStyle w:val="Hypertextovodkaz"/>
          </w:rPr>
          <w:t>https://e-estonia.com/estonian-e-identity-card-entering-the-contactless-world/</w:t>
        </w:r>
      </w:hyperlink>
    </w:p>
    <w:p w:rsidR="00A45623" w:rsidRDefault="00A45623" w:rsidP="00A45623">
      <w:pPr>
        <w:pStyle w:val="Normlnweb"/>
      </w:pPr>
      <w:r w:rsidRPr="00A45623">
        <w:rPr>
          <w:rStyle w:val="Siln"/>
          <w:b w:val="0"/>
        </w:rPr>
        <w:t>Hejl, A. (2012).</w:t>
      </w:r>
      <w:r>
        <w:t xml:space="preserve"> </w:t>
      </w:r>
      <w:r>
        <w:rPr>
          <w:rStyle w:val="Zvraznn"/>
          <w:rFonts w:eastAsiaTheme="minorEastAsia"/>
        </w:rPr>
        <w:t>Elektronické volby v ČR: výzva 21. století nebo nebezpečí pro důvěryhodnost demokracie?</w:t>
      </w:r>
      <w:r>
        <w:t xml:space="preserve"> Praha: Univerzita Karlova v Praze, Fakulta sociálních věd, Institut politologických studií.</w:t>
      </w:r>
    </w:p>
    <w:p w:rsidR="00A45623" w:rsidRDefault="00A45623" w:rsidP="00A45623">
      <w:pPr>
        <w:pStyle w:val="Normlnweb"/>
      </w:pPr>
      <w:r w:rsidRPr="00A45623">
        <w:rPr>
          <w:rStyle w:val="Siln"/>
          <w:b w:val="0"/>
        </w:rPr>
        <w:t>Lauer, T.W. (2004).</w:t>
      </w:r>
      <w:r>
        <w:t xml:space="preserve"> </w:t>
      </w:r>
      <w:r>
        <w:rPr>
          <w:rStyle w:val="Zvraznn"/>
          <w:rFonts w:eastAsiaTheme="minorEastAsia"/>
        </w:rPr>
        <w:t>The Risk of e-Voting.</w:t>
      </w:r>
      <w:r>
        <w:t xml:space="preserve"> </w:t>
      </w:r>
      <w:r>
        <w:rPr>
          <w:rStyle w:val="Zvraznn"/>
          <w:rFonts w:eastAsiaTheme="minorEastAsia"/>
        </w:rPr>
        <w:t>Electronic Journal of e-Government,</w:t>
      </w:r>
      <w:r>
        <w:t xml:space="preserve"> 2(3), s. 177–186.</w:t>
      </w:r>
    </w:p>
    <w:p w:rsidR="00A45623" w:rsidRDefault="00A45623" w:rsidP="00A45623">
      <w:pPr>
        <w:pStyle w:val="Normlnweb"/>
      </w:pPr>
      <w:r w:rsidRPr="00A45623">
        <w:rPr>
          <w:rStyle w:val="Siln"/>
          <w:b w:val="0"/>
        </w:rPr>
        <w:t>Ministerstvo vnitra ČR, odbor voleb. (2018).</w:t>
      </w:r>
      <w:r>
        <w:t xml:space="preserve"> </w:t>
      </w:r>
      <w:r>
        <w:rPr>
          <w:rStyle w:val="Zvraznn"/>
          <w:rFonts w:eastAsiaTheme="minorEastAsia"/>
        </w:rPr>
        <w:t>Dopad zavedení elektronických (internetových) voleb na volební účast: Mezinárodní srovnání.</w:t>
      </w:r>
      <w:r>
        <w:t xml:space="preserve"> Praha: Ministerstvo vnitra České republiky.</w:t>
      </w:r>
    </w:p>
    <w:p w:rsidR="00A45623" w:rsidRDefault="00A45623" w:rsidP="00A45623">
      <w:pPr>
        <w:pStyle w:val="Normlnweb"/>
      </w:pPr>
      <w:r w:rsidRPr="00A45623">
        <w:rPr>
          <w:rStyle w:val="Siln"/>
          <w:b w:val="0"/>
        </w:rPr>
        <w:t>Sál, K. (2013, 11. října).</w:t>
      </w:r>
      <w:r>
        <w:t xml:space="preserve"> </w:t>
      </w:r>
      <w:r>
        <w:rPr>
          <w:rStyle w:val="Zvraznn"/>
          <w:rFonts w:eastAsiaTheme="minorEastAsia"/>
        </w:rPr>
        <w:t>Elektronické volby v Estonsku.</w:t>
      </w:r>
      <w:r>
        <w:t xml:space="preserve"> e-politics.cz. Dostupné z: </w:t>
      </w:r>
      <w:hyperlink r:id="rId11" w:tgtFrame="_new" w:history="1">
        <w:r>
          <w:rPr>
            <w:rStyle w:val="Hypertextovodkaz"/>
          </w:rPr>
          <w:t>https://e-politics.cz/elektronicke-volby-v-estonsku-2/</w:t>
        </w:r>
      </w:hyperlink>
    </w:p>
    <w:p w:rsidR="00876A2F" w:rsidRDefault="00876A2F" w:rsidP="003B500C">
      <w:pPr>
        <w:pStyle w:val="Standard"/>
        <w:keepLines/>
        <w:spacing w:before="120" w:after="120" w:line="276" w:lineRule="auto"/>
        <w:rPr>
          <w:b/>
          <w:sz w:val="28"/>
          <w:szCs w:val="28"/>
        </w:rPr>
      </w:pPr>
    </w:p>
    <w:p w:rsidR="003B500C" w:rsidRDefault="003B500C" w:rsidP="003B500C">
      <w:pPr>
        <w:pStyle w:val="Standard"/>
        <w:keepLines/>
        <w:spacing w:before="120" w:after="120" w:line="276" w:lineRule="auto"/>
        <w:rPr>
          <w:b/>
          <w:sz w:val="28"/>
          <w:szCs w:val="28"/>
        </w:rPr>
      </w:pPr>
    </w:p>
    <w:p w:rsidR="003B500C" w:rsidRDefault="003B500C" w:rsidP="003B500C">
      <w:pPr>
        <w:pStyle w:val="Standard"/>
        <w:keepLines/>
        <w:spacing w:before="120" w:after="120" w:line="276" w:lineRule="auto"/>
        <w:rPr>
          <w:b/>
          <w:sz w:val="28"/>
          <w:szCs w:val="28"/>
        </w:rPr>
      </w:pPr>
    </w:p>
    <w:p w:rsidR="00207F36" w:rsidRDefault="00207F36" w:rsidP="004033C7">
      <w:pPr>
        <w:pStyle w:val="Standard"/>
        <w:keepLines/>
        <w:spacing w:before="120" w:after="120" w:line="276" w:lineRule="auto"/>
      </w:pPr>
      <w:r w:rsidRPr="00207F36">
        <w:t xml:space="preserve"> </w:t>
      </w:r>
      <w:r>
        <w:pict>
          <v:shape id="_x0000_i1025" type="#_x0000_t75" alt="" style="width:23.8pt;height:23.8pt"/>
        </w:pict>
      </w:r>
    </w:p>
    <w:bookmarkEnd w:id="0"/>
    <w:p w:rsidR="00C16899" w:rsidRDefault="00C16899"/>
    <w:p w:rsidR="00C16899" w:rsidRDefault="00C16899"/>
    <w:tbl>
      <w:tblPr>
        <w:tblW w:w="0" w:type="dxa"/>
        <w:tblCellMar>
          <w:left w:w="0" w:type="dxa"/>
          <w:right w:w="0" w:type="dxa"/>
        </w:tblCellMar>
        <w:tblLook w:val="04A0"/>
      </w:tblPr>
      <w:tblGrid>
        <w:gridCol w:w="6024"/>
        <w:gridCol w:w="1219"/>
        <w:gridCol w:w="1165"/>
        <w:gridCol w:w="740"/>
      </w:tblGrid>
      <w:tr w:rsidR="00C16899" w:rsidRPr="00C16899" w:rsidTr="00C16899">
        <w:trPr>
          <w:trHeight w:val="263"/>
        </w:trPr>
        <w:tc>
          <w:tcPr>
            <w:tcW w:w="0" w:type="auto"/>
            <w:tcBorders>
              <w:top w:val="single" w:sz="4" w:space="0" w:color="000000"/>
              <w:left w:val="single" w:sz="4" w:space="0" w:color="000000"/>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jc w:val="center"/>
              <w:rPr>
                <w:rFonts w:ascii="Calibri" w:eastAsia="Times New Roman" w:hAnsi="Calibri" w:cs="Calibri"/>
                <w:b/>
                <w:bCs/>
                <w:sz w:val="16"/>
                <w:szCs w:val="16"/>
                <w:lang w:val="cs-CZ" w:eastAsia="cs-CZ"/>
              </w:rPr>
            </w:pPr>
            <w:r w:rsidRPr="00C16899">
              <w:rPr>
                <w:rFonts w:ascii="Calibri" w:eastAsia="Times New Roman" w:hAnsi="Calibri" w:cs="Calibri"/>
                <w:b/>
                <w:bCs/>
                <w:sz w:val="16"/>
                <w:szCs w:val="16"/>
                <w:lang w:val="cs-CZ" w:eastAsia="cs-CZ"/>
              </w:rPr>
              <w:t>Kritérium</w:t>
            </w:r>
          </w:p>
        </w:tc>
        <w:tc>
          <w:tcPr>
            <w:tcW w:w="0" w:type="auto"/>
            <w:tcBorders>
              <w:top w:val="single" w:sz="4" w:space="0" w:color="000000"/>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Sebehodnocení studenta</w:t>
            </w:r>
          </w:p>
        </w:tc>
        <w:tc>
          <w:tcPr>
            <w:tcW w:w="0" w:type="auto"/>
            <w:tcBorders>
              <w:top w:val="single" w:sz="4" w:space="0" w:color="000000"/>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Vrstevnické hodnocení (spolužáka)</w:t>
            </w:r>
          </w:p>
        </w:tc>
        <w:tc>
          <w:tcPr>
            <w:tcW w:w="0" w:type="auto"/>
            <w:tcBorders>
              <w:top w:val="single" w:sz="4" w:space="0" w:color="000000"/>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Poznámky</w:t>
            </w: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Téma relevantní pro studované obory (politologie, veřejná politika)</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BA16F5"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Ucelená diskuse konkrétní otázky, teze (představení různých odpovědí, pohledů, argumentů pro a proti…)</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BA16F5"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Rozsah samotného textu 4000-7000 znaků včetně mezer</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BA16F5"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b/>
                <w:bCs/>
                <w:sz w:val="16"/>
                <w:szCs w:val="16"/>
                <w:lang w:val="cs-CZ" w:eastAsia="cs-CZ"/>
              </w:rPr>
            </w:pPr>
            <w:r w:rsidRPr="00C16899">
              <w:rPr>
                <w:rFonts w:ascii="Calibri" w:eastAsia="Times New Roman" w:hAnsi="Calibri" w:cs="Calibri"/>
                <w:b/>
                <w:bCs/>
                <w:sz w:val="16"/>
                <w:szCs w:val="16"/>
                <w:lang w:val="cs-CZ" w:eastAsia="cs-CZ"/>
              </w:rPr>
              <w:t>Povinné zdroje pro vypracování konspektu</w:t>
            </w:r>
          </w:p>
        </w:tc>
        <w:tc>
          <w:tcPr>
            <w:tcW w:w="0" w:type="auto"/>
            <w:tcBorders>
              <w:top w:val="single" w:sz="4" w:space="0" w:color="CCCCCC"/>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Celkem min. 4 zdroje relevantní k tématu</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F04792"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Min. 2 zdroje v AJ</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F04792"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CCCCCC"/>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Min. 2 různé nástroje pro vyhledávání odborných zdrojů</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F04792"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vMerge w:val="restart"/>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(povinně UKAŽ, další dle výběru – kontroluje si jen studující)</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F04792"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vMerge/>
            <w:tcBorders>
              <w:top w:val="single" w:sz="4" w:space="0" w:color="CCCCCC"/>
              <w:left w:val="single" w:sz="4" w:space="0" w:color="CCCCCC"/>
              <w:bottom w:val="single" w:sz="4" w:space="0" w:color="000000"/>
              <w:right w:val="single" w:sz="4" w:space="0" w:color="000000"/>
            </w:tcBorders>
            <w:vAlign w:val="center"/>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Min. 2 odborné články z recenzovaných časopisů, z nichž alespoň jeden je indexovaný ve WoS nebo Scopus</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F04792"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shd w:val="clear" w:color="auto" w:fill="D9D9D9"/>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b/>
                <w:bCs/>
                <w:sz w:val="16"/>
                <w:szCs w:val="16"/>
                <w:lang w:val="cs-CZ" w:eastAsia="cs-CZ"/>
              </w:rPr>
            </w:pPr>
            <w:r w:rsidRPr="00C16899">
              <w:rPr>
                <w:rFonts w:ascii="Calibri" w:eastAsia="Times New Roman" w:hAnsi="Calibri" w:cs="Calibri"/>
                <w:b/>
                <w:bCs/>
                <w:sz w:val="16"/>
                <w:szCs w:val="16"/>
                <w:lang w:val="cs-CZ" w:eastAsia="cs-CZ"/>
              </w:rPr>
              <w:t>Části, které práce musí obsahovat</w:t>
            </w:r>
          </w:p>
        </w:tc>
        <w:tc>
          <w:tcPr>
            <w:tcW w:w="0" w:type="auto"/>
            <w:tcBorders>
              <w:top w:val="single" w:sz="4" w:space="0" w:color="CCCCCC"/>
              <w:left w:val="single" w:sz="4" w:space="0" w:color="CCCCCC"/>
              <w:bottom w:val="single" w:sz="4" w:space="0" w:color="000000"/>
              <w:right w:val="single" w:sz="4" w:space="0" w:color="000000"/>
            </w:tcBorders>
            <w:shd w:val="clear" w:color="auto" w:fill="D9D9D9"/>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shd w:val="clear" w:color="auto" w:fill="D9D9D9"/>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shd w:val="clear" w:color="auto" w:fill="D9D9D9"/>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Název (nadpis) vystihující obsah práce</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F04792"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Jméno a příjmení autora</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F04792"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 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Abstrakt v ČJ a v AJ</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Klíčová slova v ČJ a v AJ</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Úvod – představení společného tématu/otázky, k němuž/níž se zdrojové texty vztahují, a obhájení důležitosti</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Stať – shrnutí informací ze zdrojových textů, které se vztahují ke zvolenému tématu / otázce formou syntézy (ne v bodech a ne samostatné shrnutí pro každý zdrojový text, ale souvislý text, který o zvoleném tématu přinese informace získané napříč zdrojovými texty). Členěna do odstavců a oddílů.</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Závěr – shrnutí, syntéza argumentů + případně co z toho plyne pro vás, společnost, vědu…</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Přímá citace (alespoň 1, abyste ukázali, že to umíte)</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Parafráze myšlenek z textů (více, většina citací)</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Důvěryhodná a podložená argumentace (u všechh nesamozřejmých informací je odkaz na zdroj)</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Tabulka, obrázek nebo jiný grafický prvek zakomponovaný do textu (abyste ukázali, že to s nimi umíte)</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BA16F5">
            <w:pPr>
              <w:spacing w:after="0" w:line="240" w:lineRule="auto"/>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Seznam zdrojů - jednotně podle ISO 690, abecedně srovnaný</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b/>
                <w:bCs/>
                <w:sz w:val="16"/>
                <w:szCs w:val="16"/>
                <w:lang w:val="cs-CZ" w:eastAsia="cs-CZ"/>
              </w:rPr>
            </w:pPr>
            <w:r w:rsidRPr="00C16899">
              <w:rPr>
                <w:rFonts w:ascii="Calibri" w:eastAsia="Times New Roman" w:hAnsi="Calibri" w:cs="Calibri"/>
                <w:b/>
                <w:bCs/>
                <w:sz w:val="16"/>
                <w:szCs w:val="16"/>
                <w:lang w:val="cs-CZ" w:eastAsia="cs-CZ"/>
              </w:rPr>
              <w:t>Formální požadavky</w:t>
            </w:r>
          </w:p>
        </w:tc>
        <w:tc>
          <w:tcPr>
            <w:tcW w:w="0" w:type="auto"/>
            <w:tcBorders>
              <w:top w:val="single" w:sz="4" w:space="0" w:color="CCCCCC"/>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shd w:val="clear" w:color="auto" w:fill="E7E6E6"/>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Logické členění textu podnadpisy (alespoň 3 oddíly, ne po zdrojích, ale po myšlenkách a roli v textu – tj. typicky úvod, podpůrné argumenty, kritika/námitky/oslabení, závěrečné shrnutí (syntéza)</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Členění textu do odstavců</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Číslování stran</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Zarovnání do bloku, dodržování základních typografických pravidel (správná interpunkce, osamocená slova/řádky…)</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Spisovná odborná čeština (ne angličtina, ne slovenština – využijte klidně nástroje pro jazykovou korekturu)</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Pro citování používán tzv. harvardský styl, tj. závorka s autorem a rokem přímo v textu</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Formát citací a bibliografických odkazů odpovídá normě ISO 690.</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Není plagiát – všechny převzaté myšlenky a věty jsou řádně citovány, lze odlišit převzaté a původní informace a věty, všechny zdroje uvedeny v seznamu a zároveň není uveden necitovaný zdroj (prošlo Turnitinem)</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t>Tabulky, obrázky a jiné grafické objekty obsahují popisek a jsou číslovány, a odkazuje se na ně v textu.</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r w:rsidR="00C16899" w:rsidRPr="00C16899" w:rsidTr="00C16899">
        <w:trPr>
          <w:trHeight w:val="263"/>
        </w:trPr>
        <w:tc>
          <w:tcPr>
            <w:tcW w:w="0" w:type="auto"/>
            <w:tcBorders>
              <w:top w:val="single" w:sz="4" w:space="0" w:color="CCCCCC"/>
              <w:left w:val="single" w:sz="4" w:space="0" w:color="000000"/>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Calibri" w:eastAsia="Times New Roman" w:hAnsi="Calibri" w:cs="Calibri"/>
                <w:sz w:val="16"/>
                <w:szCs w:val="16"/>
                <w:lang w:val="cs-CZ" w:eastAsia="cs-CZ"/>
              </w:rPr>
            </w:pPr>
            <w:r w:rsidRPr="00C16899">
              <w:rPr>
                <w:rFonts w:ascii="Calibri" w:eastAsia="Times New Roman" w:hAnsi="Calibri" w:cs="Calibri"/>
                <w:sz w:val="16"/>
                <w:szCs w:val="16"/>
                <w:lang w:val="cs-CZ" w:eastAsia="cs-CZ"/>
              </w:rPr>
              <w:lastRenderedPageBreak/>
              <w:t>Dokument je pojmenován tak, aby z názvu byl poznat autor, příležitost a verze/datum (např. mouralova_uap2025_konspekt1)</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767A5F" w:rsidP="00C16899">
            <w:pPr>
              <w:spacing w:after="0" w:line="240" w:lineRule="auto"/>
              <w:jc w:val="center"/>
              <w:rPr>
                <w:rFonts w:ascii="Calibri" w:eastAsia="Times New Roman" w:hAnsi="Calibri" w:cs="Calibri"/>
                <w:sz w:val="16"/>
                <w:szCs w:val="16"/>
                <w:lang w:val="cs-CZ" w:eastAsia="cs-CZ"/>
              </w:rPr>
            </w:pPr>
            <w:r>
              <w:rPr>
                <w:rFonts w:ascii="Calibri" w:hAnsi="Calibri" w:cs="Calibri"/>
                <w:color w:val="000000"/>
                <w:sz w:val="20"/>
                <w:szCs w:val="20"/>
              </w:rPr>
              <w:t>Splněno</w:t>
            </w: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center"/>
            <w:hideMark/>
          </w:tcPr>
          <w:p w:rsidR="00C16899" w:rsidRPr="00C16899" w:rsidRDefault="00C16899" w:rsidP="00C16899">
            <w:pPr>
              <w:spacing w:after="0" w:line="240" w:lineRule="auto"/>
              <w:jc w:val="center"/>
              <w:rPr>
                <w:rFonts w:ascii="Calibri" w:eastAsia="Times New Roman" w:hAnsi="Calibri" w:cs="Calibri"/>
                <w:sz w:val="16"/>
                <w:szCs w:val="16"/>
                <w:lang w:val="cs-CZ" w:eastAsia="cs-CZ"/>
              </w:rPr>
            </w:pPr>
          </w:p>
        </w:tc>
        <w:tc>
          <w:tcPr>
            <w:tcW w:w="0" w:type="auto"/>
            <w:tcBorders>
              <w:top w:val="single" w:sz="4" w:space="0" w:color="CCCCCC"/>
              <w:left w:val="single" w:sz="4" w:space="0" w:color="CCCCCC"/>
              <w:bottom w:val="single" w:sz="4" w:space="0" w:color="000000"/>
              <w:right w:val="single" w:sz="4" w:space="0" w:color="000000"/>
            </w:tcBorders>
            <w:tcMar>
              <w:top w:w="25" w:type="dxa"/>
              <w:left w:w="38" w:type="dxa"/>
              <w:bottom w:w="25" w:type="dxa"/>
              <w:right w:w="38" w:type="dxa"/>
            </w:tcMar>
            <w:vAlign w:val="bottom"/>
            <w:hideMark/>
          </w:tcPr>
          <w:p w:rsidR="00C16899" w:rsidRPr="00C16899" w:rsidRDefault="00C16899" w:rsidP="00C16899">
            <w:pPr>
              <w:spacing w:after="0" w:line="240" w:lineRule="auto"/>
              <w:rPr>
                <w:rFonts w:ascii="Arial" w:eastAsia="Times New Roman" w:hAnsi="Arial" w:cs="Arial"/>
                <w:sz w:val="16"/>
                <w:szCs w:val="16"/>
                <w:lang w:val="cs-CZ" w:eastAsia="cs-CZ"/>
              </w:rPr>
            </w:pPr>
          </w:p>
        </w:tc>
      </w:tr>
    </w:tbl>
    <w:p w:rsidR="00C16899" w:rsidRDefault="00C16899"/>
    <w:p w:rsidR="004E6393" w:rsidRDefault="004E6393"/>
    <w:sectPr w:rsidR="004E6393" w:rsidSect="004A4D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A61" w:rsidRDefault="00944A61" w:rsidP="00765E51">
      <w:pPr>
        <w:spacing w:after="0" w:line="240" w:lineRule="auto"/>
      </w:pPr>
      <w:r>
        <w:separator/>
      </w:r>
    </w:p>
  </w:endnote>
  <w:endnote w:type="continuationSeparator" w:id="1">
    <w:p w:rsidR="00944A61" w:rsidRDefault="00944A61" w:rsidP="00765E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51" w:rsidRDefault="00D4566A">
    <w:pPr>
      <w:pStyle w:val="Zpat"/>
      <w:jc w:val="center"/>
    </w:pPr>
    <w:fldSimple w:instr=" PAGE   \* MERGEFORMAT ">
      <w:r w:rsidR="00767A5F">
        <w:rPr>
          <w:noProof/>
        </w:rPr>
        <w:t>3</w:t>
      </w:r>
    </w:fldSimple>
  </w:p>
  <w:p w:rsidR="00765E51" w:rsidRDefault="00765E5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A61" w:rsidRDefault="00944A61" w:rsidP="00765E51">
      <w:pPr>
        <w:spacing w:after="0" w:line="240" w:lineRule="auto"/>
      </w:pPr>
      <w:r>
        <w:separator/>
      </w:r>
    </w:p>
  </w:footnote>
  <w:footnote w:type="continuationSeparator" w:id="1">
    <w:p w:rsidR="00944A61" w:rsidRDefault="00944A61" w:rsidP="00765E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51" w:rsidRDefault="00765E51">
    <w:pPr>
      <w:pStyle w:val="Zhlav"/>
    </w:pPr>
  </w:p>
  <w:p w:rsidR="00765E51" w:rsidRDefault="00765E51">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76216A"/>
    <w:rsid w:val="00050F77"/>
    <w:rsid w:val="001C7E7C"/>
    <w:rsid w:val="001F6803"/>
    <w:rsid w:val="00207F36"/>
    <w:rsid w:val="00311CD4"/>
    <w:rsid w:val="003A3389"/>
    <w:rsid w:val="003B500C"/>
    <w:rsid w:val="004033C7"/>
    <w:rsid w:val="00445EF2"/>
    <w:rsid w:val="00494714"/>
    <w:rsid w:val="004A4D22"/>
    <w:rsid w:val="004E6393"/>
    <w:rsid w:val="0059559C"/>
    <w:rsid w:val="0061599B"/>
    <w:rsid w:val="0063184D"/>
    <w:rsid w:val="006423B7"/>
    <w:rsid w:val="00642F9A"/>
    <w:rsid w:val="00652527"/>
    <w:rsid w:val="00663B21"/>
    <w:rsid w:val="006B1F41"/>
    <w:rsid w:val="007159E8"/>
    <w:rsid w:val="0076216A"/>
    <w:rsid w:val="00765E51"/>
    <w:rsid w:val="00767A5F"/>
    <w:rsid w:val="00774CB7"/>
    <w:rsid w:val="00811849"/>
    <w:rsid w:val="00826402"/>
    <w:rsid w:val="00876A2F"/>
    <w:rsid w:val="00877EE0"/>
    <w:rsid w:val="00886F76"/>
    <w:rsid w:val="00923B89"/>
    <w:rsid w:val="00944A61"/>
    <w:rsid w:val="00946E25"/>
    <w:rsid w:val="009B4C99"/>
    <w:rsid w:val="00A45623"/>
    <w:rsid w:val="00AC0314"/>
    <w:rsid w:val="00B25731"/>
    <w:rsid w:val="00B5177F"/>
    <w:rsid w:val="00B907B4"/>
    <w:rsid w:val="00BA16F5"/>
    <w:rsid w:val="00C16899"/>
    <w:rsid w:val="00C25588"/>
    <w:rsid w:val="00C4420F"/>
    <w:rsid w:val="00C46D72"/>
    <w:rsid w:val="00C5494B"/>
    <w:rsid w:val="00D4566A"/>
    <w:rsid w:val="00D55E5E"/>
    <w:rsid w:val="00DF2BC0"/>
    <w:rsid w:val="00E0348F"/>
    <w:rsid w:val="00EC2063"/>
    <w:rsid w:val="00EE559A"/>
    <w:rsid w:val="00F04792"/>
    <w:rsid w:val="00FE0B1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2063"/>
    <w:rPr>
      <w:rFonts w:ascii="Times New Roman" w:eastAsiaTheme="minorEastAsia" w:hAnsi="Times New Roman"/>
      <w:sz w:val="24"/>
      <w:lang w:val="en-US"/>
    </w:rPr>
  </w:style>
  <w:style w:type="paragraph" w:styleId="Nadpis3">
    <w:name w:val="heading 3"/>
    <w:basedOn w:val="Normln"/>
    <w:link w:val="Nadpis3Char"/>
    <w:uiPriority w:val="9"/>
    <w:qFormat/>
    <w:rsid w:val="0059559C"/>
    <w:pPr>
      <w:spacing w:before="100" w:beforeAutospacing="1" w:after="100" w:afterAutospacing="1" w:line="240" w:lineRule="auto"/>
      <w:outlineLvl w:val="2"/>
    </w:pPr>
    <w:rPr>
      <w:rFonts w:eastAsia="Times New Roman" w:cs="Times New Roman"/>
      <w:b/>
      <w:bCs/>
      <w:sz w:val="27"/>
      <w:szCs w:val="27"/>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DF2BC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Zhlav">
    <w:name w:val="header"/>
    <w:basedOn w:val="Normln"/>
    <w:link w:val="ZhlavChar"/>
    <w:uiPriority w:val="99"/>
    <w:semiHidden/>
    <w:unhideWhenUsed/>
    <w:rsid w:val="00765E51"/>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765E51"/>
    <w:rPr>
      <w:rFonts w:ascii="Times New Roman" w:eastAsiaTheme="minorEastAsia" w:hAnsi="Times New Roman"/>
      <w:sz w:val="24"/>
      <w:lang w:val="en-US"/>
    </w:rPr>
  </w:style>
  <w:style w:type="paragraph" w:styleId="Zpat">
    <w:name w:val="footer"/>
    <w:basedOn w:val="Normln"/>
    <w:link w:val="ZpatChar"/>
    <w:uiPriority w:val="99"/>
    <w:unhideWhenUsed/>
    <w:rsid w:val="00765E51"/>
    <w:pPr>
      <w:tabs>
        <w:tab w:val="center" w:pos="4536"/>
        <w:tab w:val="right" w:pos="9072"/>
      </w:tabs>
      <w:spacing w:after="0" w:line="240" w:lineRule="auto"/>
    </w:pPr>
  </w:style>
  <w:style w:type="character" w:customStyle="1" w:styleId="ZpatChar">
    <w:name w:val="Zápatí Char"/>
    <w:basedOn w:val="Standardnpsmoodstavce"/>
    <w:link w:val="Zpat"/>
    <w:uiPriority w:val="99"/>
    <w:rsid w:val="00765E51"/>
    <w:rPr>
      <w:rFonts w:ascii="Times New Roman" w:eastAsiaTheme="minorEastAsia" w:hAnsi="Times New Roman"/>
      <w:sz w:val="24"/>
      <w:lang w:val="en-US"/>
    </w:rPr>
  </w:style>
  <w:style w:type="character" w:styleId="Hypertextovodkaz">
    <w:name w:val="Hyperlink"/>
    <w:basedOn w:val="Standardnpsmoodstavce"/>
    <w:uiPriority w:val="99"/>
    <w:unhideWhenUsed/>
    <w:rsid w:val="004E6393"/>
    <w:rPr>
      <w:color w:val="0000FF" w:themeColor="hyperlink"/>
      <w:u w:val="single"/>
    </w:rPr>
  </w:style>
  <w:style w:type="paragraph" w:styleId="Textbubliny">
    <w:name w:val="Balloon Text"/>
    <w:basedOn w:val="Normln"/>
    <w:link w:val="TextbublinyChar"/>
    <w:uiPriority w:val="99"/>
    <w:semiHidden/>
    <w:unhideWhenUsed/>
    <w:rsid w:val="00445E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5EF2"/>
    <w:rPr>
      <w:rFonts w:ascii="Tahoma" w:eastAsiaTheme="minorEastAsia" w:hAnsi="Tahoma" w:cs="Tahoma"/>
      <w:sz w:val="16"/>
      <w:szCs w:val="16"/>
      <w:lang w:val="en-US"/>
    </w:rPr>
  </w:style>
  <w:style w:type="paragraph" w:styleId="Titulek">
    <w:name w:val="caption"/>
    <w:basedOn w:val="Normln"/>
    <w:next w:val="Normln"/>
    <w:uiPriority w:val="35"/>
    <w:unhideWhenUsed/>
    <w:qFormat/>
    <w:rsid w:val="00445EF2"/>
    <w:pPr>
      <w:spacing w:line="240" w:lineRule="auto"/>
    </w:pPr>
    <w:rPr>
      <w:b/>
      <w:bCs/>
      <w:color w:val="4F81BD" w:themeColor="accent1"/>
      <w:sz w:val="18"/>
      <w:szCs w:val="18"/>
    </w:rPr>
  </w:style>
  <w:style w:type="character" w:styleId="Sledovanodkaz">
    <w:name w:val="FollowedHyperlink"/>
    <w:basedOn w:val="Standardnpsmoodstavce"/>
    <w:uiPriority w:val="99"/>
    <w:semiHidden/>
    <w:unhideWhenUsed/>
    <w:rsid w:val="00826402"/>
    <w:rPr>
      <w:color w:val="800080" w:themeColor="followedHyperlink"/>
      <w:u w:val="single"/>
    </w:rPr>
  </w:style>
  <w:style w:type="character" w:styleId="Siln">
    <w:name w:val="Strong"/>
    <w:basedOn w:val="Standardnpsmoodstavce"/>
    <w:uiPriority w:val="22"/>
    <w:qFormat/>
    <w:rsid w:val="00876A2F"/>
    <w:rPr>
      <w:b/>
      <w:bCs/>
    </w:rPr>
  </w:style>
  <w:style w:type="character" w:styleId="Zvraznn">
    <w:name w:val="Emphasis"/>
    <w:basedOn w:val="Standardnpsmoodstavce"/>
    <w:uiPriority w:val="20"/>
    <w:qFormat/>
    <w:rsid w:val="00876A2F"/>
    <w:rPr>
      <w:i/>
      <w:iCs/>
    </w:rPr>
  </w:style>
  <w:style w:type="paragraph" w:styleId="Normlnweb">
    <w:name w:val="Normal (Web)"/>
    <w:basedOn w:val="Normln"/>
    <w:uiPriority w:val="99"/>
    <w:semiHidden/>
    <w:unhideWhenUsed/>
    <w:rsid w:val="00A45623"/>
    <w:pPr>
      <w:spacing w:before="100" w:beforeAutospacing="1" w:after="100" w:afterAutospacing="1" w:line="240" w:lineRule="auto"/>
    </w:pPr>
    <w:rPr>
      <w:rFonts w:eastAsia="Times New Roman" w:cs="Times New Roman"/>
      <w:szCs w:val="24"/>
      <w:lang w:val="cs-CZ" w:eastAsia="cs-CZ"/>
    </w:rPr>
  </w:style>
  <w:style w:type="character" w:customStyle="1" w:styleId="Nadpis3Char">
    <w:name w:val="Nadpis 3 Char"/>
    <w:basedOn w:val="Standardnpsmoodstavce"/>
    <w:link w:val="Nadpis3"/>
    <w:uiPriority w:val="9"/>
    <w:rsid w:val="0059559C"/>
    <w:rPr>
      <w:rFonts w:ascii="Times New Roman" w:eastAsia="Times New Roman" w:hAnsi="Times New Roman" w:cs="Times New Roman"/>
      <w:b/>
      <w:bCs/>
      <w:sz w:val="27"/>
      <w:szCs w:val="27"/>
      <w:lang w:eastAsia="cs-CZ"/>
    </w:rPr>
  </w:style>
</w:styles>
</file>

<file path=word/webSettings.xml><?xml version="1.0" encoding="utf-8"?>
<w:webSettings xmlns:r="http://schemas.openxmlformats.org/officeDocument/2006/relationships" xmlns:w="http://schemas.openxmlformats.org/wordprocessingml/2006/main">
  <w:divs>
    <w:div w:id="113719775">
      <w:bodyDiv w:val="1"/>
      <w:marLeft w:val="0"/>
      <w:marRight w:val="0"/>
      <w:marTop w:val="0"/>
      <w:marBottom w:val="0"/>
      <w:divBdr>
        <w:top w:val="none" w:sz="0" w:space="0" w:color="auto"/>
        <w:left w:val="none" w:sz="0" w:space="0" w:color="auto"/>
        <w:bottom w:val="none" w:sz="0" w:space="0" w:color="auto"/>
        <w:right w:val="none" w:sz="0" w:space="0" w:color="auto"/>
      </w:divBdr>
    </w:div>
    <w:div w:id="167908011">
      <w:bodyDiv w:val="1"/>
      <w:marLeft w:val="0"/>
      <w:marRight w:val="0"/>
      <w:marTop w:val="0"/>
      <w:marBottom w:val="0"/>
      <w:divBdr>
        <w:top w:val="none" w:sz="0" w:space="0" w:color="auto"/>
        <w:left w:val="none" w:sz="0" w:space="0" w:color="auto"/>
        <w:bottom w:val="none" w:sz="0" w:space="0" w:color="auto"/>
        <w:right w:val="none" w:sz="0" w:space="0" w:color="auto"/>
      </w:divBdr>
    </w:div>
    <w:div w:id="720636658">
      <w:bodyDiv w:val="1"/>
      <w:marLeft w:val="0"/>
      <w:marRight w:val="0"/>
      <w:marTop w:val="0"/>
      <w:marBottom w:val="0"/>
      <w:divBdr>
        <w:top w:val="none" w:sz="0" w:space="0" w:color="auto"/>
        <w:left w:val="none" w:sz="0" w:space="0" w:color="auto"/>
        <w:bottom w:val="none" w:sz="0" w:space="0" w:color="auto"/>
        <w:right w:val="none" w:sz="0" w:space="0" w:color="auto"/>
      </w:divBdr>
    </w:div>
    <w:div w:id="787703425">
      <w:bodyDiv w:val="1"/>
      <w:marLeft w:val="0"/>
      <w:marRight w:val="0"/>
      <w:marTop w:val="0"/>
      <w:marBottom w:val="0"/>
      <w:divBdr>
        <w:top w:val="none" w:sz="0" w:space="0" w:color="auto"/>
        <w:left w:val="none" w:sz="0" w:space="0" w:color="auto"/>
        <w:bottom w:val="none" w:sz="0" w:space="0" w:color="auto"/>
        <w:right w:val="none" w:sz="0" w:space="0" w:color="auto"/>
      </w:divBdr>
    </w:div>
    <w:div w:id="1121680119">
      <w:bodyDiv w:val="1"/>
      <w:marLeft w:val="0"/>
      <w:marRight w:val="0"/>
      <w:marTop w:val="0"/>
      <w:marBottom w:val="0"/>
      <w:divBdr>
        <w:top w:val="none" w:sz="0" w:space="0" w:color="auto"/>
        <w:left w:val="none" w:sz="0" w:space="0" w:color="auto"/>
        <w:bottom w:val="none" w:sz="0" w:space="0" w:color="auto"/>
        <w:right w:val="none" w:sz="0" w:space="0" w:color="auto"/>
      </w:divBdr>
    </w:div>
    <w:div w:id="1122385539">
      <w:bodyDiv w:val="1"/>
      <w:marLeft w:val="0"/>
      <w:marRight w:val="0"/>
      <w:marTop w:val="0"/>
      <w:marBottom w:val="0"/>
      <w:divBdr>
        <w:top w:val="none" w:sz="0" w:space="0" w:color="auto"/>
        <w:left w:val="none" w:sz="0" w:space="0" w:color="auto"/>
        <w:bottom w:val="none" w:sz="0" w:space="0" w:color="auto"/>
        <w:right w:val="none" w:sz="0" w:space="0" w:color="auto"/>
      </w:divBdr>
    </w:div>
    <w:div w:id="1515344329">
      <w:bodyDiv w:val="1"/>
      <w:marLeft w:val="0"/>
      <w:marRight w:val="0"/>
      <w:marTop w:val="0"/>
      <w:marBottom w:val="0"/>
      <w:divBdr>
        <w:top w:val="none" w:sz="0" w:space="0" w:color="auto"/>
        <w:left w:val="none" w:sz="0" w:space="0" w:color="auto"/>
        <w:bottom w:val="none" w:sz="0" w:space="0" w:color="auto"/>
        <w:right w:val="none" w:sz="0" w:space="0" w:color="auto"/>
      </w:divBdr>
    </w:div>
    <w:div w:id="1600915539">
      <w:bodyDiv w:val="1"/>
      <w:marLeft w:val="0"/>
      <w:marRight w:val="0"/>
      <w:marTop w:val="0"/>
      <w:marBottom w:val="0"/>
      <w:divBdr>
        <w:top w:val="none" w:sz="0" w:space="0" w:color="auto"/>
        <w:left w:val="none" w:sz="0" w:space="0" w:color="auto"/>
        <w:bottom w:val="none" w:sz="0" w:space="0" w:color="auto"/>
        <w:right w:val="none" w:sz="0" w:space="0" w:color="auto"/>
      </w:divBdr>
    </w:div>
    <w:div w:id="208228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politics.cz/elektronicke-volby-v-estonsku-2/?utm_source=chatgp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estonia.com/estonian-e-identity-card-entering-the-contactless-world/?utm_source=chatgpt.com" TargetMode="External"/><Relationship Id="rId4" Type="http://schemas.openxmlformats.org/officeDocument/2006/relationships/webSettings" Target="webSettings.xml"/><Relationship Id="rId9" Type="http://schemas.openxmlformats.org/officeDocument/2006/relationships/hyperlink" Target="https://ct24.ceskatelevize.cz/clanek/svet/staci-pripojeni-k-internetu-a-obcanka-s-cipem-estonci-uz-skoro-dvacet-let-voli-on-line-349932?utm_source=chatgpt.com"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08B94-EC92-40B9-A13F-436F400AE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7</Pages>
  <Words>1497</Words>
  <Characters>8836</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2025-10-19T15:50:00Z</dcterms:created>
  <dcterms:modified xsi:type="dcterms:W3CDTF">2025-10-25T12:05:00Z</dcterms:modified>
</cp:coreProperties>
</file>