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54AAD" w14:textId="6509B4CF" w:rsidR="00B4490C" w:rsidRPr="000732BE" w:rsidRDefault="00B4490C" w:rsidP="000732BE">
      <w:pPr>
        <w:spacing w:line="360" w:lineRule="auto"/>
        <w:jc w:val="right"/>
        <w:rPr>
          <w:rFonts w:ascii="Arial" w:eastAsia="Times New Roman" w:hAnsi="Arial" w:cs="Arial"/>
          <w:i/>
          <w:iCs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i/>
          <w:iCs/>
          <w:sz w:val="24"/>
          <w:szCs w:val="24"/>
          <w14:ligatures w14:val="none"/>
        </w:rPr>
        <w:t>Kristýna Zabystrzanová</w:t>
      </w:r>
    </w:p>
    <w:p w14:paraId="492D1633" w14:textId="1721A38A" w:rsidR="00B4490C" w:rsidRPr="000732BE" w:rsidRDefault="00B4490C" w:rsidP="000732BE">
      <w:pPr>
        <w:spacing w:line="360" w:lineRule="auto"/>
        <w:jc w:val="right"/>
        <w:rPr>
          <w:rFonts w:ascii="Arial" w:eastAsia="Times New Roman" w:hAnsi="Arial" w:cs="Arial"/>
          <w:i/>
          <w:iCs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i/>
          <w:iCs/>
          <w:sz w:val="24"/>
          <w:szCs w:val="24"/>
          <w14:ligatures w14:val="none"/>
        </w:rPr>
        <w:t>13.5.2024</w:t>
      </w:r>
    </w:p>
    <w:p w14:paraId="0786FD8B" w14:textId="1D8B34C9" w:rsidR="00B4490C" w:rsidRPr="000732BE" w:rsidRDefault="00B4490C" w:rsidP="000732BE">
      <w:pPr>
        <w:spacing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  <w14:ligatures w14:val="none"/>
        </w:rPr>
      </w:pPr>
      <w:r w:rsidRPr="000732BE">
        <w:rPr>
          <w:rFonts w:ascii="Arial" w:eastAsia="Times New Roman" w:hAnsi="Arial" w:cs="Arial"/>
          <w:b/>
          <w:bCs/>
          <w:sz w:val="36"/>
          <w:szCs w:val="36"/>
          <w14:ligatures w14:val="none"/>
        </w:rPr>
        <w:t>Pedagogický výzkum</w:t>
      </w:r>
    </w:p>
    <w:p w14:paraId="1A3C0448" w14:textId="77777777" w:rsidR="00B4490C" w:rsidRPr="000732BE" w:rsidRDefault="00B4490C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</w:p>
    <w:p w14:paraId="57B85E33" w14:textId="21724080" w:rsidR="00B4490C" w:rsidRPr="00472753" w:rsidRDefault="00B4490C" w:rsidP="000732BE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14:ligatures w14:val="none"/>
        </w:rPr>
      </w:pPr>
      <w:r w:rsidRPr="00472753">
        <w:rPr>
          <w:rFonts w:ascii="Arial" w:eastAsia="Times New Roman" w:hAnsi="Arial" w:cs="Arial"/>
          <w:b/>
          <w:bCs/>
          <w:sz w:val="28"/>
          <w:szCs w:val="28"/>
          <w14:ligatures w14:val="none"/>
        </w:rPr>
        <w:t>Úkol 1</w:t>
      </w:r>
    </w:p>
    <w:p w14:paraId="09BC96F6" w14:textId="77777777" w:rsidR="000732BE" w:rsidRPr="000732BE" w:rsidRDefault="000732BE" w:rsidP="000732BE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14:ligatures w14:val="none"/>
        </w:rPr>
      </w:pPr>
    </w:p>
    <w:p w14:paraId="7A3C2BBE" w14:textId="522C9FD6" w:rsidR="00B4490C" w:rsidRPr="00B4490C" w:rsidRDefault="00B4490C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B4490C">
        <w:rPr>
          <w:rFonts w:ascii="Arial" w:eastAsia="Times New Roman" w:hAnsi="Arial" w:cs="Arial"/>
          <w:b/>
          <w:bCs/>
          <w:sz w:val="24"/>
          <w:szCs w:val="24"/>
          <w14:ligatures w14:val="none"/>
        </w:rPr>
        <w:t>Článek:</w:t>
      </w:r>
      <w:r w:rsidRPr="00B4490C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Pavelková, M. (2014). SKOLNÍ HODNOCENÍ OCIMA MATEK ZÁKU DRUHÉHO STUPNE ZÁKLADNÍ SKOLY/SCHOOL ASSESSMENT FROM THE PERSPECTIVE OF LOWER SECONDARY SCHOOL STUDENTS' MOTHERS. Studia </w:t>
      </w:r>
      <w:proofErr w:type="spellStart"/>
      <w:r w:rsidRPr="000732BE">
        <w:rPr>
          <w:rFonts w:ascii="Arial" w:eastAsia="Times New Roman" w:hAnsi="Arial" w:cs="Arial"/>
          <w:sz w:val="24"/>
          <w:szCs w:val="24"/>
          <w14:ligatures w14:val="none"/>
        </w:rPr>
        <w:t>paedagogica</w:t>
      </w:r>
      <w:proofErr w:type="spellEnd"/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(Brno), 19(1), 149.</w:t>
      </w:r>
    </w:p>
    <w:p w14:paraId="716708CA" w14:textId="77777777" w:rsidR="00B4490C" w:rsidRPr="00B4490C" w:rsidRDefault="00B4490C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</w:p>
    <w:p w14:paraId="0ECCC4BA" w14:textId="4FF6C041" w:rsidR="00B4490C" w:rsidRPr="000732BE" w:rsidRDefault="00B4490C" w:rsidP="000732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b/>
          <w:bCs/>
          <w:sz w:val="24"/>
          <w:szCs w:val="24"/>
          <w14:ligatures w14:val="none"/>
        </w:rPr>
        <w:t>Jaká je výzkumná otázka? Jaký byl cíl výzkumu?</w:t>
      </w:r>
    </w:p>
    <w:p w14:paraId="7D10294F" w14:textId="5C93B380" w:rsidR="007C0425" w:rsidRPr="000732BE" w:rsidRDefault="007C0425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Cí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l: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R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ozkrýt názory matek a zjistit, jak vnímají školní hodnocení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svých dětí a jak se toto hodnocení odráží v jejich přístupu k dětem.</w:t>
      </w:r>
    </w:p>
    <w:p w14:paraId="3DD92F42" w14:textId="1CD232B6" w:rsidR="00B4490C" w:rsidRDefault="007C0425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V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ýzkumné otázky: Jak matky dětí na 2. stupni ZŠ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vnímají školní hodnocení svých dětí? Jaké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faktory podle matek stojí za dosahovaným hodnocením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jejich dětí? Jak se dosahované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hodnocení dítěte promítá do výchovných postupů,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které matky volí?</w:t>
      </w:r>
    </w:p>
    <w:p w14:paraId="22EB0B4A" w14:textId="77777777" w:rsidR="000732BE" w:rsidRPr="000732BE" w:rsidRDefault="000732BE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</w:p>
    <w:p w14:paraId="59DF73A0" w14:textId="075D2C04" w:rsidR="00B4490C" w:rsidRPr="000732BE" w:rsidRDefault="00B4490C" w:rsidP="000732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b/>
          <w:bCs/>
          <w:sz w:val="24"/>
          <w:szCs w:val="24"/>
          <w14:ligatures w14:val="none"/>
        </w:rPr>
        <w:t>Jaké byly metody sběru dat? Kdo byli účastníci výzkumu (respondenti)?</w:t>
      </w:r>
    </w:p>
    <w:p w14:paraId="429FCBE0" w14:textId="3B66EAC3" w:rsidR="007C0425" w:rsidRPr="000732BE" w:rsidRDefault="007C0425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Výzkumný vzorek tvořilo osm respondentek, které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mají</w:t>
      </w:r>
      <w:r w:rsidR="000732BE"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d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ítě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, které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navštěvuje druhý stupeň základní školy, respektive 7.–9. třídu.</w:t>
      </w:r>
    </w:p>
    <w:p w14:paraId="6FFB8573" w14:textId="4EA98549" w:rsidR="000732BE" w:rsidRDefault="007C0425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Jako nástroj pro sběr dat byl použit polostrukturovaný rozhovor obsahující</w:t>
      </w:r>
      <w:r w:rsidR="000732BE"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19 základních otáze</w:t>
      </w:r>
      <w:r w:rsidR="000732BE"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k a zpracovány pomocí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techniky otevřeného kódování</w:t>
      </w:r>
      <w:r w:rsidR="000732BE"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, poté byl použit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program pro analýzu kvalitativních dat MAXQDA 11.</w:t>
      </w:r>
    </w:p>
    <w:p w14:paraId="3B13177B" w14:textId="77777777" w:rsidR="00472753" w:rsidRDefault="00472753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</w:p>
    <w:p w14:paraId="6A32B81A" w14:textId="77777777" w:rsidR="00472753" w:rsidRPr="000732BE" w:rsidRDefault="00472753" w:rsidP="000732B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</w:p>
    <w:p w14:paraId="6C63A1C8" w14:textId="12DA3728" w:rsidR="00B4490C" w:rsidRPr="000732BE" w:rsidRDefault="00B4490C" w:rsidP="000732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b/>
          <w:bCs/>
          <w:sz w:val="24"/>
          <w:szCs w:val="24"/>
          <w14:ligatures w14:val="none"/>
        </w:rPr>
        <w:lastRenderedPageBreak/>
        <w:t>Jaké jsou hlavní nálezy?</w:t>
      </w:r>
    </w:p>
    <w:p w14:paraId="0B9D3E06" w14:textId="4EF61DBE" w:rsidR="00472753" w:rsidRDefault="000732BE" w:rsidP="0047275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Nejdůležitějším faktorem, který měl vliv téměř na všechny oblasti bylo rozdělení na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matky dětí s horším prospěchem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(prospěch nejčastěji okolo trojky, kolísavé výsledky) a matky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dětí s výborným prospěchem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(stálé výsledky, nejčastěji jedničky)</w:t>
      </w:r>
      <w:r w:rsidRPr="000732BE">
        <w:rPr>
          <w:rFonts w:ascii="Arial" w:eastAsia="Times New Roman" w:hAnsi="Arial" w:cs="Arial"/>
          <w:sz w:val="24"/>
          <w:szCs w:val="24"/>
          <w14:ligatures w14:val="none"/>
        </w:rPr>
        <w:t>.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Toto rozdělení konfrontuje pohled </w:t>
      </w:r>
      <w:proofErr w:type="spellStart"/>
      <w:r>
        <w:rPr>
          <w:rFonts w:ascii="Arial" w:eastAsia="Times New Roman" w:hAnsi="Arial" w:cs="Arial"/>
          <w:sz w:val="24"/>
          <w:szCs w:val="24"/>
          <w14:ligatures w14:val="none"/>
        </w:rPr>
        <w:t>Katrňáka</w:t>
      </w:r>
      <w:proofErr w:type="spellEnd"/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(20</w:t>
      </w:r>
      <w:r w:rsidR="00472753">
        <w:rPr>
          <w:rFonts w:ascii="Arial" w:eastAsia="Times New Roman" w:hAnsi="Arial" w:cs="Arial"/>
          <w:sz w:val="24"/>
          <w:szCs w:val="24"/>
          <w14:ligatures w14:val="none"/>
        </w:rPr>
        <w:t>0</w:t>
      </w:r>
      <w:r>
        <w:rPr>
          <w:rFonts w:ascii="Arial" w:eastAsia="Times New Roman" w:hAnsi="Arial" w:cs="Arial"/>
          <w:sz w:val="24"/>
          <w:szCs w:val="24"/>
          <w14:ligatures w14:val="none"/>
        </w:rPr>
        <w:t>4)</w:t>
      </w:r>
      <w:r w:rsidR="00472753">
        <w:rPr>
          <w:rFonts w:ascii="Arial" w:eastAsia="Times New Roman" w:hAnsi="Arial" w:cs="Arial"/>
          <w:sz w:val="24"/>
          <w:szCs w:val="24"/>
          <w14:ligatures w14:val="none"/>
        </w:rPr>
        <w:t xml:space="preserve">, který odkazuje na to, že hlavní vliv na vzdělání dětí, a tedy i přístup rodičů je vzdělání. </w:t>
      </w:r>
      <w:r w:rsidR="00472753" w:rsidRPr="00472753">
        <w:rPr>
          <w:rFonts w:ascii="Arial" w:eastAsia="Times New Roman" w:hAnsi="Arial" w:cs="Arial"/>
          <w:sz w:val="24"/>
          <w:szCs w:val="24"/>
          <w14:ligatures w14:val="none"/>
        </w:rPr>
        <w:t>Výsledky</w:t>
      </w:r>
      <w:r w:rsidR="00472753">
        <w:rPr>
          <w:rFonts w:ascii="Arial" w:eastAsia="Times New Roman" w:hAnsi="Arial" w:cs="Arial"/>
          <w:sz w:val="24"/>
          <w:szCs w:val="24"/>
          <w14:ligatures w14:val="none"/>
        </w:rPr>
        <w:t xml:space="preserve"> toho</w:t>
      </w:r>
      <w:r w:rsidR="00472753" w:rsidRPr="00472753">
        <w:rPr>
          <w:rFonts w:ascii="Arial" w:eastAsia="Times New Roman" w:hAnsi="Arial" w:cs="Arial"/>
          <w:sz w:val="24"/>
          <w:szCs w:val="24"/>
          <w14:ligatures w14:val="none"/>
        </w:rPr>
        <w:t xml:space="preserve"> výzkumu </w:t>
      </w:r>
      <w:r w:rsidR="00472753">
        <w:rPr>
          <w:rFonts w:ascii="Arial" w:eastAsia="Times New Roman" w:hAnsi="Arial" w:cs="Arial"/>
          <w:sz w:val="24"/>
          <w:szCs w:val="24"/>
          <w14:ligatures w14:val="none"/>
        </w:rPr>
        <w:t xml:space="preserve">ale </w:t>
      </w:r>
      <w:r w:rsidR="00472753" w:rsidRPr="00472753">
        <w:rPr>
          <w:rFonts w:ascii="Arial" w:eastAsia="Times New Roman" w:hAnsi="Arial" w:cs="Arial"/>
          <w:sz w:val="24"/>
          <w:szCs w:val="24"/>
          <w14:ligatures w14:val="none"/>
        </w:rPr>
        <w:t>naznačují, že dosažené vzdělání</w:t>
      </w:r>
      <w:r w:rsidR="00472753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="00472753" w:rsidRPr="00472753">
        <w:rPr>
          <w:rFonts w:ascii="Arial" w:eastAsia="Times New Roman" w:hAnsi="Arial" w:cs="Arial"/>
          <w:sz w:val="24"/>
          <w:szCs w:val="24"/>
          <w14:ligatures w14:val="none"/>
        </w:rPr>
        <w:t>matky nemusí hrát v souvislosti s postoji rodičů ke</w:t>
      </w:r>
      <w:r w:rsidR="00472753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="00472753" w:rsidRPr="00472753">
        <w:rPr>
          <w:rFonts w:ascii="Arial" w:eastAsia="Times New Roman" w:hAnsi="Arial" w:cs="Arial"/>
          <w:sz w:val="24"/>
          <w:szCs w:val="24"/>
          <w14:ligatures w14:val="none"/>
        </w:rPr>
        <w:t>školnímu hodnocení</w:t>
      </w:r>
      <w:r w:rsidR="00472753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="00472753" w:rsidRPr="00472753">
        <w:rPr>
          <w:rFonts w:ascii="Arial" w:eastAsia="Times New Roman" w:hAnsi="Arial" w:cs="Arial"/>
          <w:sz w:val="24"/>
          <w:szCs w:val="24"/>
          <w14:ligatures w14:val="none"/>
        </w:rPr>
        <w:t>a obecně vzdělávací kariéře dětí rozhodující roli.</w:t>
      </w:r>
    </w:p>
    <w:p w14:paraId="7B1BDCB8" w14:textId="6678A5EB" w:rsidR="00472753" w:rsidRDefault="00472753" w:rsidP="0047275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Zdá se naopak, že chování rodičů se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odvíjí od toho, jaké známky dítě ve škole dostává.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Pokud například nosí samé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jedničky, je rodiči označováno jako šikovné, pokud má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špatné známky,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je označeno jako líné.</w:t>
      </w:r>
    </w:p>
    <w:p w14:paraId="6A2AEBA9" w14:textId="6DA8E506" w:rsidR="00472753" w:rsidRDefault="00472753" w:rsidP="0047275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472753">
        <w:rPr>
          <w:rFonts w:ascii="Arial" w:eastAsia="Times New Roman" w:hAnsi="Arial" w:cs="Arial"/>
          <w:sz w:val="24"/>
          <w:szCs w:val="24"/>
          <w14:ligatures w14:val="none"/>
        </w:rPr>
        <w:t xml:space="preserve">To, jak rodiče vnímají školní hodnocení, je tedy 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ovlivněno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zejména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povahou známek,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které dítě ze školy nosí. Pokud má dítě hezké známky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a zvládá školu bez problémů,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považuje to matka za přirozené a samozřejmé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a nad hodnocením se moc nepozastavuje. Pokud má dítě ve škole problémy,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proofErr w:type="gramStart"/>
      <w:r w:rsidRPr="00472753">
        <w:rPr>
          <w:rFonts w:ascii="Arial" w:eastAsia="Times New Roman" w:hAnsi="Arial" w:cs="Arial"/>
          <w:sz w:val="24"/>
          <w:szCs w:val="24"/>
          <w14:ligatures w14:val="none"/>
        </w:rPr>
        <w:t>snaží</w:t>
      </w:r>
      <w:proofErr w:type="gramEnd"/>
      <w:r w:rsidRPr="00472753">
        <w:rPr>
          <w:rFonts w:ascii="Arial" w:eastAsia="Times New Roman" w:hAnsi="Arial" w:cs="Arial"/>
          <w:sz w:val="24"/>
          <w:szCs w:val="24"/>
          <w14:ligatures w14:val="none"/>
        </w:rPr>
        <w:t xml:space="preserve"> se matka najít „viníka“, který by horší prospěch jejího dítěte omluvil,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a pak se může s touto skutečností „smířit“. Zkrátka si řekne, že i když by dítě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možná mělo na víc, má z určitých důvodů (specifické poruchy učení, rozvod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rodičů…) nastaveny jisté limity, a pokud se v nich udržuje, je to nezvratitelný</w:t>
      </w:r>
      <w:r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  <w:r w:rsidRPr="00472753">
        <w:rPr>
          <w:rFonts w:ascii="Arial" w:eastAsia="Times New Roman" w:hAnsi="Arial" w:cs="Arial"/>
          <w:sz w:val="24"/>
          <w:szCs w:val="24"/>
          <w14:ligatures w14:val="none"/>
        </w:rPr>
        <w:t>fakt, který je třeba brát jako danost.</w:t>
      </w:r>
    </w:p>
    <w:p w14:paraId="6A77A4E7" w14:textId="604D481E" w:rsidR="00472753" w:rsidRDefault="00472753" w:rsidP="0047275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>
        <w:rPr>
          <w:rFonts w:ascii="Arial" w:eastAsia="Times New Roman" w:hAnsi="Arial" w:cs="Arial"/>
          <w:sz w:val="24"/>
          <w:szCs w:val="24"/>
          <w14:ligatures w14:val="none"/>
        </w:rPr>
        <w:t>Dále přikládám tabulku, kde autorka popisuje rozdíly mezi dvěma skupinami respondentek.</w:t>
      </w:r>
    </w:p>
    <w:p w14:paraId="22B74B0F" w14:textId="1D1652B5" w:rsidR="000732BE" w:rsidRPr="000732BE" w:rsidRDefault="00472753" w:rsidP="0047275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472753">
        <w:rPr>
          <w:rFonts w:ascii="Arial" w:eastAsia="Times New Roman" w:hAnsi="Arial" w:cs="Arial"/>
          <w:sz w:val="24"/>
          <w:szCs w:val="24"/>
          <w14:ligatures w14:val="none"/>
        </w:rPr>
        <w:lastRenderedPageBreak/>
        <w:drawing>
          <wp:inline distT="0" distB="0" distL="0" distR="0" wp14:anchorId="7C6FB056" wp14:editId="63CCBCA1">
            <wp:extent cx="5268060" cy="5553850"/>
            <wp:effectExtent l="0" t="0" r="8890" b="8890"/>
            <wp:docPr id="493628409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28409" name="Obrázek 1" descr="Obsah obrázku text, snímek obrazovky, Písmo, číslo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Garamond" w:hAnsi="Garamond" w:cs="Garamond"/>
          <w:kern w:val="0"/>
          <w:sz w:val="18"/>
          <w:szCs w:val="18"/>
        </w:rPr>
        <w:t>Katrňák</w:t>
      </w:r>
      <w:proofErr w:type="spellEnd"/>
      <w:r>
        <w:rPr>
          <w:rFonts w:ascii="Garamond" w:hAnsi="Garamond" w:cs="Garamond"/>
          <w:kern w:val="0"/>
          <w:sz w:val="18"/>
          <w:szCs w:val="18"/>
        </w:rPr>
        <w:t xml:space="preserve">, T. (2004). 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>Odsouzeni k manu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á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>ln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í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 xml:space="preserve"> pr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á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>ci: vzd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ě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>lanostn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í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 xml:space="preserve"> reprodukce v d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ě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>lnick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é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 xml:space="preserve"> rodin</w:t>
      </w:r>
      <w:r>
        <w:rPr>
          <w:rFonts w:ascii="Garamond-Italic" w:eastAsia="Garamond-Italic" w:hAnsi="Garamond" w:cs="Garamond-Italic" w:hint="eastAsia"/>
          <w:i/>
          <w:iCs/>
          <w:kern w:val="0"/>
          <w:sz w:val="18"/>
          <w:szCs w:val="18"/>
        </w:rPr>
        <w:t>ě</w:t>
      </w:r>
      <w:r>
        <w:rPr>
          <w:rFonts w:ascii="Garamond-Italic" w:eastAsia="Garamond-Italic" w:hAnsi="Garamond" w:cs="Garamond-Italic"/>
          <w:i/>
          <w:iCs/>
          <w:kern w:val="0"/>
          <w:sz w:val="18"/>
          <w:szCs w:val="18"/>
        </w:rPr>
        <w:t xml:space="preserve">. </w:t>
      </w:r>
      <w:r>
        <w:rPr>
          <w:rFonts w:ascii="Garamond" w:hAnsi="Garamond" w:cs="Garamond"/>
          <w:kern w:val="0"/>
          <w:sz w:val="18"/>
          <w:szCs w:val="18"/>
        </w:rPr>
        <w:t xml:space="preserve">Praha: </w:t>
      </w:r>
      <w:proofErr w:type="gramStart"/>
      <w:r>
        <w:rPr>
          <w:rFonts w:ascii="Garamond" w:hAnsi="Garamond" w:cs="Garamond"/>
          <w:kern w:val="0"/>
          <w:sz w:val="18"/>
          <w:szCs w:val="18"/>
        </w:rPr>
        <w:t>SLON .</w:t>
      </w:r>
      <w:proofErr w:type="gramEnd"/>
      <w:r w:rsidR="000732BE">
        <w:rPr>
          <w:rFonts w:ascii="Arial" w:eastAsia="Times New Roman" w:hAnsi="Arial" w:cs="Arial"/>
          <w:sz w:val="24"/>
          <w:szCs w:val="24"/>
          <w14:ligatures w14:val="none"/>
        </w:rPr>
        <w:t xml:space="preserve"> </w:t>
      </w:r>
    </w:p>
    <w:p w14:paraId="57A93EC7" w14:textId="77777777" w:rsidR="000732BE" w:rsidRPr="000732BE" w:rsidRDefault="000732BE" w:rsidP="000732BE">
      <w:pPr>
        <w:pStyle w:val="Odstavecseseznamem"/>
        <w:spacing w:line="360" w:lineRule="auto"/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</w:p>
    <w:p w14:paraId="4B6712D7" w14:textId="77777777" w:rsidR="00F84051" w:rsidRPr="000732BE" w:rsidRDefault="00F84051" w:rsidP="000732B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84051" w:rsidRPr="000732BE" w:rsidSect="00B4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904EE"/>
    <w:multiLevelType w:val="hybridMultilevel"/>
    <w:tmpl w:val="512EA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8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C"/>
    <w:rsid w:val="000732BE"/>
    <w:rsid w:val="00115565"/>
    <w:rsid w:val="00472753"/>
    <w:rsid w:val="007C0425"/>
    <w:rsid w:val="00B4490C"/>
    <w:rsid w:val="00E5599F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19EA"/>
  <w15:chartTrackingRefBased/>
  <w15:docId w15:val="{A7F54BDC-D691-49B9-85DA-AD9CA20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49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49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49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49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49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49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49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49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49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49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49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49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490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490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49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49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49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490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449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4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49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449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449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4490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4490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4490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49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490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449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416</Words>
  <Characters>2323</Characters>
  <Application>Microsoft Office Word</Application>
  <DocSecurity>0</DocSecurity>
  <Lines>49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Zabystrzanová</dc:creator>
  <cp:keywords/>
  <dc:description/>
  <cp:lastModifiedBy>Kristýna Zabystrzanová</cp:lastModifiedBy>
  <cp:revision>1</cp:revision>
  <dcterms:created xsi:type="dcterms:W3CDTF">2024-05-13T16:47:00Z</dcterms:created>
  <dcterms:modified xsi:type="dcterms:W3CDTF">2024-05-13T17:27:00Z</dcterms:modified>
</cp:coreProperties>
</file>