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F970" w14:textId="77777777" w:rsidR="001A05CE" w:rsidRPr="004F7787" w:rsidRDefault="001A05CE">
      <w:pPr>
        <w:rPr>
          <w:sz w:val="28"/>
          <w:szCs w:val="28"/>
          <w:u w:val="single"/>
        </w:rPr>
      </w:pPr>
    </w:p>
    <w:p w14:paraId="0452F0A0" w14:textId="77777777" w:rsidR="001A05CE" w:rsidRDefault="001A05CE">
      <w:pPr>
        <w:rPr>
          <w:sz w:val="28"/>
          <w:szCs w:val="28"/>
          <w:u w:val="single"/>
          <w:lang w:val="cs-CZ"/>
        </w:rPr>
      </w:pPr>
    </w:p>
    <w:p w14:paraId="08B67DF7" w14:textId="32778DA4" w:rsidR="000107C4" w:rsidRPr="009240F6" w:rsidRDefault="00C14D41" w:rsidP="000107C4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0"/>
          <w:szCs w:val="70"/>
        </w:rPr>
      </w:pPr>
      <w:r>
        <w:rPr>
          <w:rFonts w:ascii="Calibri" w:eastAsia="+mn-ea" w:hAnsi="Calibri" w:cs="+mn-cs"/>
          <w:color w:val="ED1C29"/>
          <w:kern w:val="24"/>
          <w:sz w:val="70"/>
          <w:szCs w:val="70"/>
        </w:rPr>
        <w:t>GIT</w:t>
      </w:r>
      <w:r w:rsidR="00200E42">
        <w:rPr>
          <w:rFonts w:ascii="Calibri" w:eastAsia="+mn-ea" w:hAnsi="Calibri" w:cs="+mn-cs"/>
          <w:color w:val="ED1C29"/>
          <w:kern w:val="24"/>
          <w:sz w:val="70"/>
          <w:szCs w:val="70"/>
        </w:rPr>
        <w:t xml:space="preserve"> </w:t>
      </w:r>
      <w:r w:rsidR="006A6E2D">
        <w:rPr>
          <w:rFonts w:ascii="Calibri" w:eastAsia="+mn-ea" w:hAnsi="Calibri" w:cs="+mn-cs"/>
          <w:color w:val="ED1C29"/>
          <w:kern w:val="24"/>
          <w:sz w:val="70"/>
          <w:szCs w:val="70"/>
        </w:rPr>
        <w:t>2 Trávení</w:t>
      </w:r>
    </w:p>
    <w:p w14:paraId="2903AE33" w14:textId="2A47F185" w:rsidR="001A05CE" w:rsidRPr="00501B00" w:rsidRDefault="001A05CE" w:rsidP="008D7983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2"/>
          <w:szCs w:val="80"/>
        </w:rPr>
      </w:pPr>
      <w:r w:rsidRPr="00501B00">
        <w:rPr>
          <w:rFonts w:ascii="Calibri" w:eastAsia="+mn-ea" w:hAnsi="Calibri" w:cs="+mn-cs"/>
          <w:color w:val="ED1C29"/>
          <w:kern w:val="24"/>
          <w:sz w:val="72"/>
          <w:szCs w:val="80"/>
        </w:rPr>
        <w:t xml:space="preserve"> </w:t>
      </w:r>
    </w:p>
    <w:p w14:paraId="23793D72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</w:p>
    <w:p w14:paraId="38F4AF4E" w14:textId="511B0938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  <w:r w:rsidRPr="00501B00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  <w:t xml:space="preserve">Laboratorní cvičení a seminář z lékařské fyziologie  </w:t>
      </w:r>
    </w:p>
    <w:p w14:paraId="5F6AB57F" w14:textId="14712A55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5471C8E8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1B3470F7" w14:textId="5874D08A" w:rsidR="001A05CE" w:rsidRPr="00501B00" w:rsidRDefault="001A05CE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</w:pPr>
      <w:r w:rsidRPr="00501B00"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  <w:t>Domácí příprava, studijní materiály a výukové cíle</w:t>
      </w:r>
    </w:p>
    <w:p w14:paraId="1B916765" w14:textId="77777777" w:rsidR="001A05CE" w:rsidRPr="001A05CE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0A0C3B0E" w14:textId="711D10AC" w:rsidR="001A05CE" w:rsidRDefault="001A05CE" w:rsidP="001A05CE">
      <w:pPr>
        <w:pStyle w:val="Normlnweb"/>
        <w:spacing w:before="0" w:beforeAutospacing="0" w:after="0" w:afterAutospacing="0"/>
        <w:jc w:val="center"/>
      </w:pPr>
    </w:p>
    <w:p w14:paraId="0315963E" w14:textId="5F93F0D9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6191C09D" w14:textId="01BBFA51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37EA9CD" w14:textId="31063AD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570C3926" w14:textId="48AEAE23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0EC21AB2" w14:textId="69B3BF3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FBBBD0F" w14:textId="09F9EAB7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53AE2F4B" w14:textId="5721D62B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482204AA" w14:textId="4D052511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596BCC86" w14:textId="1792183C" w:rsidR="002F0143" w:rsidRDefault="002F0143" w:rsidP="001A05CE">
      <w:pPr>
        <w:pStyle w:val="Normlnweb"/>
        <w:spacing w:before="0" w:beforeAutospacing="0" w:after="0" w:afterAutospacing="0"/>
        <w:jc w:val="center"/>
      </w:pPr>
    </w:p>
    <w:p w14:paraId="5AB86A52" w14:textId="6FD3B24A" w:rsidR="002F0143" w:rsidRDefault="002F0143" w:rsidP="001A05CE">
      <w:pPr>
        <w:pStyle w:val="Normlnweb"/>
        <w:spacing w:before="0" w:beforeAutospacing="0" w:after="0" w:afterAutospacing="0"/>
        <w:jc w:val="center"/>
      </w:pPr>
    </w:p>
    <w:p w14:paraId="276BAD4E" w14:textId="68E45CE1" w:rsidR="002F0143" w:rsidRDefault="002F0143" w:rsidP="001A05CE">
      <w:pPr>
        <w:pStyle w:val="Normlnweb"/>
        <w:spacing w:before="0" w:beforeAutospacing="0" w:after="0" w:afterAutospacing="0"/>
        <w:jc w:val="center"/>
      </w:pPr>
    </w:p>
    <w:p w14:paraId="1BCC11E3" w14:textId="77777777" w:rsidR="002F0143" w:rsidRDefault="002F0143" w:rsidP="001A05CE">
      <w:pPr>
        <w:pStyle w:val="Normlnweb"/>
        <w:spacing w:before="0" w:beforeAutospacing="0" w:after="0" w:afterAutospacing="0"/>
        <w:jc w:val="center"/>
      </w:pPr>
    </w:p>
    <w:p w14:paraId="720DB992" w14:textId="1395059C" w:rsidR="00E70D41" w:rsidRDefault="00E70D41" w:rsidP="001A05CE">
      <w:pPr>
        <w:pStyle w:val="Normlnweb"/>
        <w:spacing w:before="0" w:beforeAutospacing="0" w:after="0" w:afterAutospacing="0"/>
        <w:jc w:val="center"/>
      </w:pPr>
    </w:p>
    <w:p w14:paraId="5704F6FB" w14:textId="77777777" w:rsidR="00E70D41" w:rsidRDefault="00E70D41" w:rsidP="001A05CE">
      <w:pPr>
        <w:pStyle w:val="Normlnweb"/>
        <w:spacing w:before="0" w:beforeAutospacing="0" w:after="0" w:afterAutospacing="0"/>
        <w:jc w:val="center"/>
      </w:pPr>
    </w:p>
    <w:p w14:paraId="26D59868" w14:textId="0F158CDC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4AAD84BF" w14:textId="3D1E087A" w:rsidR="008D7983" w:rsidRDefault="008D7983" w:rsidP="00A96871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 w:rsidRPr="0028439D">
        <w:rPr>
          <w:b/>
          <w:color w:val="FF0000"/>
          <w:sz w:val="28"/>
          <w:szCs w:val="28"/>
          <w:lang w:val="cs-CZ"/>
        </w:rPr>
        <w:lastRenderedPageBreak/>
        <w:t>Výukové cíle – co budete umět</w:t>
      </w:r>
    </w:p>
    <w:p w14:paraId="4437F51B" w14:textId="77777777" w:rsidR="002F7567" w:rsidRDefault="002F7567" w:rsidP="00A96871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</w:p>
    <w:p w14:paraId="7940C0C1" w14:textId="224BEAC1" w:rsidR="002F7567" w:rsidRPr="002F7567" w:rsidRDefault="002F7567" w:rsidP="002F75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 w:rsidRPr="00B36E26">
        <w:rPr>
          <w:rFonts w:asciiTheme="minorHAnsi" w:hAnsiTheme="minorHAnsi"/>
        </w:rPr>
        <w:t xml:space="preserve">Student je schopen </w:t>
      </w:r>
      <w:r>
        <w:rPr>
          <w:rFonts w:asciiTheme="minorHAnsi" w:hAnsiTheme="minorHAnsi"/>
        </w:rPr>
        <w:t xml:space="preserve">vysvětlit regulační mechanismy (hormonální atd.) sekrece všech trávicích tekutin (slin, žaludečních, pankreatické a střevních šťáv, a žluči) </w:t>
      </w:r>
      <w:r w:rsidRPr="002F7567">
        <w:rPr>
          <w:rFonts w:asciiTheme="minorHAnsi" w:hAnsiTheme="minorHAnsi"/>
        </w:rPr>
        <w:t xml:space="preserve"> </w:t>
      </w:r>
    </w:p>
    <w:p w14:paraId="73E18CE4" w14:textId="73163624" w:rsidR="00392755" w:rsidRPr="00392755" w:rsidRDefault="002F7567" w:rsidP="002F7567">
      <w:pPr>
        <w:pStyle w:val="Odstavecseseznamem"/>
        <w:numPr>
          <w:ilvl w:val="0"/>
          <w:numId w:val="5"/>
        </w:numPr>
        <w:spacing w:after="0"/>
        <w:rPr>
          <w:rFonts w:eastAsia="SimSun" w:cs="Arial"/>
          <w:kern w:val="3"/>
          <w:sz w:val="24"/>
          <w:szCs w:val="24"/>
          <w:lang w:val="cs-CZ" w:eastAsia="zh-CN" w:bidi="hi-IN"/>
        </w:rPr>
      </w:pPr>
      <w:r w:rsidRPr="00392755">
        <w:rPr>
          <w:lang w:val="cs-CZ"/>
        </w:rPr>
        <w:t xml:space="preserve">Student bude znát složení trávicích šťáv a účinky jednotlivých složek </w:t>
      </w:r>
    </w:p>
    <w:p w14:paraId="775EF5EE" w14:textId="6CA4FC84" w:rsidR="002F7567" w:rsidRPr="00392755" w:rsidRDefault="00392755" w:rsidP="002F7567">
      <w:pPr>
        <w:pStyle w:val="Odstavecseseznamem"/>
        <w:numPr>
          <w:ilvl w:val="0"/>
          <w:numId w:val="5"/>
        </w:numPr>
        <w:spacing w:after="0"/>
        <w:rPr>
          <w:rFonts w:eastAsia="SimSun" w:cs="Arial"/>
          <w:kern w:val="3"/>
          <w:sz w:val="24"/>
          <w:szCs w:val="24"/>
          <w:lang w:val="cs-CZ" w:eastAsia="zh-CN" w:bidi="hi-IN"/>
        </w:rPr>
      </w:pPr>
      <w:r w:rsidRPr="00392755">
        <w:rPr>
          <w:lang w:val="cs-CZ"/>
        </w:rPr>
        <w:t xml:space="preserve">Student bude </w:t>
      </w:r>
      <w:r>
        <w:rPr>
          <w:lang w:val="cs-CZ"/>
        </w:rPr>
        <w:t xml:space="preserve">schopen </w:t>
      </w:r>
      <w:r w:rsidR="002F7567" w:rsidRPr="00392755">
        <w:rPr>
          <w:rFonts w:eastAsia="SimSun" w:cs="Arial"/>
          <w:kern w:val="3"/>
          <w:sz w:val="24"/>
          <w:szCs w:val="24"/>
          <w:lang w:val="cs-CZ" w:eastAsia="zh-CN" w:bidi="hi-IN"/>
        </w:rPr>
        <w:t xml:space="preserve">popsat a vysvětlit ochranný mechanismus žaludku </w:t>
      </w:r>
    </w:p>
    <w:p w14:paraId="110D9D21" w14:textId="0198239B" w:rsidR="002F7567" w:rsidRDefault="002F7567" w:rsidP="002F7567">
      <w:pPr>
        <w:pStyle w:val="Standard"/>
        <w:numPr>
          <w:ilvl w:val="0"/>
          <w:numId w:val="5"/>
        </w:numPr>
        <w:rPr>
          <w:rFonts w:asciiTheme="minorHAnsi" w:hAnsiTheme="minorHAnsi"/>
        </w:rPr>
      </w:pPr>
      <w:r w:rsidRPr="007F7DD8">
        <w:rPr>
          <w:rFonts w:asciiTheme="minorHAnsi" w:hAnsiTheme="minorHAnsi"/>
        </w:rPr>
        <w:t xml:space="preserve">Student je schopen popsat </w:t>
      </w:r>
      <w:r>
        <w:rPr>
          <w:rFonts w:asciiTheme="minorHAnsi" w:hAnsiTheme="minorHAnsi"/>
        </w:rPr>
        <w:t xml:space="preserve">průběh trávení a vstřebávání jednotlivých složek potravy (cukry, tuky, bílkoviny, voda, vitamíny a minerály) </w:t>
      </w:r>
    </w:p>
    <w:p w14:paraId="5127E52F" w14:textId="77777777" w:rsidR="00A96871" w:rsidRPr="00A96871" w:rsidRDefault="00A96871" w:rsidP="00A96871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</w:p>
    <w:p w14:paraId="0C393FB4" w14:textId="77777777" w:rsidR="00A96871" w:rsidRPr="00A96871" w:rsidRDefault="00A96871" w:rsidP="00A96871">
      <w:pPr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</w:p>
    <w:p w14:paraId="21AB4B1A" w14:textId="5F31E61B" w:rsidR="008E5C1E" w:rsidRPr="0028439D" w:rsidRDefault="009023A4" w:rsidP="0028439D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 w:rsidRPr="0028439D">
        <w:rPr>
          <w:b/>
          <w:color w:val="FF0000"/>
          <w:sz w:val="28"/>
          <w:szCs w:val="28"/>
          <w:lang w:val="cs-CZ"/>
        </w:rPr>
        <w:t>Studijní materiály</w:t>
      </w:r>
    </w:p>
    <w:p w14:paraId="3F19113D" w14:textId="4C4C909D" w:rsidR="002F7567" w:rsidRPr="00D53003" w:rsidRDefault="002F7567" w:rsidP="002F7567">
      <w:pPr>
        <w:pStyle w:val="Odstavecseseznamem"/>
        <w:numPr>
          <w:ilvl w:val="0"/>
          <w:numId w:val="4"/>
        </w:numPr>
        <w:spacing w:before="120"/>
        <w:rPr>
          <w:sz w:val="24"/>
          <w:szCs w:val="24"/>
        </w:rPr>
      </w:pPr>
      <w:r w:rsidRPr="00D53003">
        <w:rPr>
          <w:sz w:val="24"/>
          <w:szCs w:val="24"/>
          <w:lang w:val="cs-CZ"/>
        </w:rPr>
        <w:t>Přednášk</w:t>
      </w:r>
      <w:r>
        <w:rPr>
          <w:sz w:val="24"/>
          <w:szCs w:val="24"/>
          <w:lang w:val="cs-CZ"/>
        </w:rPr>
        <w:t xml:space="preserve">y Trávení I a II </w:t>
      </w:r>
      <w:r w:rsidRPr="00D53003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</w:t>
      </w:r>
      <w:hyperlink r:id="rId11" w:history="1">
        <w:r w:rsidRPr="008E5A7B">
          <w:rPr>
            <w:rStyle w:val="Hypertextovodkaz"/>
            <w:sz w:val="24"/>
            <w:szCs w:val="24"/>
            <w:lang w:val="cs-CZ"/>
          </w:rPr>
          <w:t>https://www.youtube.com/watch?v=1GJM82KWjDQ&amp;ab_channel=%C3%9Astavfyziologie-P%C5%99edn%C3%A1%C5%A1ky</w:t>
        </w:r>
      </w:hyperlink>
      <w:r>
        <w:rPr>
          <w:sz w:val="24"/>
          <w:szCs w:val="24"/>
          <w:lang w:val="cs-CZ"/>
        </w:rPr>
        <w:t xml:space="preserve"> a </w:t>
      </w:r>
      <w:hyperlink r:id="rId12" w:history="1">
        <w:r w:rsidRPr="008E5A7B">
          <w:rPr>
            <w:rStyle w:val="Hypertextovodkaz"/>
            <w:sz w:val="24"/>
            <w:szCs w:val="24"/>
            <w:lang w:val="cs-CZ"/>
          </w:rPr>
          <w:t>https://www.youtube.com/watch?v=lGObeOtNVf4&amp;ab_channel=%C3%9Astavfyziologie-P%C5%99edn%C3%A1%C5%A1ky</w:t>
        </w:r>
      </w:hyperlink>
      <w:r>
        <w:rPr>
          <w:sz w:val="24"/>
          <w:szCs w:val="24"/>
          <w:lang w:val="cs-CZ"/>
        </w:rPr>
        <w:t xml:space="preserve"> )</w:t>
      </w:r>
    </w:p>
    <w:p w14:paraId="3FB71D10" w14:textId="77777777" w:rsidR="002F7567" w:rsidRPr="005B3281" w:rsidRDefault="002F7567" w:rsidP="002F7567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 w:rsidRPr="005B3281">
        <w:rPr>
          <w:sz w:val="24"/>
          <w:szCs w:val="28"/>
          <w:lang w:val="cs-CZ"/>
        </w:rPr>
        <w:t xml:space="preserve">Učebnice O. </w:t>
      </w:r>
      <w:proofErr w:type="spellStart"/>
      <w:r w:rsidRPr="005B3281">
        <w:rPr>
          <w:sz w:val="24"/>
          <w:szCs w:val="28"/>
          <w:lang w:val="cs-CZ"/>
        </w:rPr>
        <w:t>Kittnar</w:t>
      </w:r>
      <w:proofErr w:type="spellEnd"/>
      <w:r w:rsidRPr="005B3281">
        <w:rPr>
          <w:sz w:val="24"/>
          <w:szCs w:val="28"/>
          <w:lang w:val="cs-CZ"/>
        </w:rPr>
        <w:t xml:space="preserve"> – Lékařská fyziologie</w:t>
      </w:r>
      <w:r>
        <w:rPr>
          <w:sz w:val="24"/>
          <w:szCs w:val="28"/>
          <w:lang w:val="cs-CZ"/>
        </w:rPr>
        <w:t xml:space="preserve">, </w:t>
      </w:r>
      <w:proofErr w:type="spellStart"/>
      <w:r w:rsidRPr="005B3281">
        <w:rPr>
          <w:rFonts w:cs="Arial"/>
          <w:sz w:val="24"/>
          <w:szCs w:val="24"/>
        </w:rPr>
        <w:t>kapitola</w:t>
      </w:r>
      <w:proofErr w:type="spellEnd"/>
      <w:r w:rsidRPr="005B328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7.3-7.8</w:t>
      </w:r>
    </w:p>
    <w:p w14:paraId="6EE2C8B9" w14:textId="77777777" w:rsidR="002F7567" w:rsidRDefault="002F7567" w:rsidP="002F7567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Učebnice L. </w:t>
      </w:r>
      <w:proofErr w:type="spellStart"/>
      <w:r w:rsidRPr="00A97C9A">
        <w:rPr>
          <w:sz w:val="24"/>
          <w:szCs w:val="28"/>
          <w:lang w:val="cs-CZ"/>
        </w:rPr>
        <w:t>Constanzo</w:t>
      </w:r>
      <w:proofErr w:type="spellEnd"/>
      <w:r w:rsidRPr="00A97C9A">
        <w:rPr>
          <w:sz w:val="24"/>
          <w:szCs w:val="28"/>
          <w:lang w:val="cs-CZ"/>
        </w:rPr>
        <w:t xml:space="preserve"> </w:t>
      </w:r>
      <w:r>
        <w:rPr>
          <w:sz w:val="24"/>
          <w:szCs w:val="28"/>
          <w:lang w:val="cs-CZ"/>
        </w:rPr>
        <w:t xml:space="preserve">– </w:t>
      </w:r>
      <w:proofErr w:type="spellStart"/>
      <w:r>
        <w:rPr>
          <w:sz w:val="24"/>
          <w:szCs w:val="28"/>
          <w:lang w:val="cs-CZ"/>
        </w:rPr>
        <w:t>Physiology</w:t>
      </w:r>
      <w:proofErr w:type="spellEnd"/>
      <w:r>
        <w:rPr>
          <w:sz w:val="24"/>
          <w:szCs w:val="28"/>
          <w:lang w:val="cs-CZ"/>
        </w:rPr>
        <w:t xml:space="preserve">, 6th </w:t>
      </w:r>
      <w:proofErr w:type="spellStart"/>
      <w:r>
        <w:rPr>
          <w:sz w:val="24"/>
          <w:szCs w:val="28"/>
          <w:lang w:val="cs-CZ"/>
        </w:rPr>
        <w:t>or</w:t>
      </w:r>
      <w:proofErr w:type="spellEnd"/>
      <w:r>
        <w:rPr>
          <w:sz w:val="24"/>
          <w:szCs w:val="28"/>
          <w:lang w:val="cs-CZ"/>
        </w:rPr>
        <w:t xml:space="preserve"> 7th </w:t>
      </w:r>
      <w:proofErr w:type="spellStart"/>
      <w:r>
        <w:rPr>
          <w:sz w:val="24"/>
          <w:szCs w:val="28"/>
          <w:lang w:val="cs-CZ"/>
        </w:rPr>
        <w:t>edition</w:t>
      </w:r>
      <w:proofErr w:type="spellEnd"/>
      <w:r>
        <w:rPr>
          <w:sz w:val="24"/>
          <w:szCs w:val="28"/>
          <w:lang w:val="cs-CZ"/>
        </w:rPr>
        <w:t>, kapitola 8 (s.345-398)</w:t>
      </w:r>
    </w:p>
    <w:p w14:paraId="5258841D" w14:textId="28D12FBE" w:rsidR="00670008" w:rsidRPr="002F7567" w:rsidRDefault="00670008" w:rsidP="002F7567">
      <w:pPr>
        <w:spacing w:before="120" w:after="0" w:line="240" w:lineRule="auto"/>
        <w:rPr>
          <w:sz w:val="24"/>
          <w:szCs w:val="24"/>
          <w:lang w:val="cs-CZ"/>
        </w:rPr>
      </w:pPr>
    </w:p>
    <w:p w14:paraId="7C215261" w14:textId="77777777" w:rsidR="00670008" w:rsidRPr="008A3356" w:rsidRDefault="00670008" w:rsidP="00670008">
      <w:pPr>
        <w:pStyle w:val="Odstavecseseznamem"/>
        <w:spacing w:before="120" w:after="0" w:line="240" w:lineRule="auto"/>
        <w:ind w:left="1440"/>
        <w:rPr>
          <w:sz w:val="24"/>
          <w:szCs w:val="24"/>
          <w:lang w:val="cs-CZ"/>
        </w:rPr>
      </w:pPr>
    </w:p>
    <w:p w14:paraId="2B8E66CB" w14:textId="77777777" w:rsidR="009518E4" w:rsidRPr="0091120E" w:rsidRDefault="009518E4" w:rsidP="00D80BB1">
      <w:pPr>
        <w:spacing w:before="120" w:after="0" w:line="240" w:lineRule="auto"/>
        <w:rPr>
          <w:sz w:val="24"/>
          <w:szCs w:val="24"/>
          <w:lang w:val="cs-CZ"/>
        </w:rPr>
      </w:pPr>
    </w:p>
    <w:p w14:paraId="4FBB6D77" w14:textId="49EBA945" w:rsidR="00A97C9A" w:rsidRDefault="002F7567" w:rsidP="00D80BB1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r>
        <w:rPr>
          <w:b/>
          <w:color w:val="FF0000"/>
          <w:sz w:val="28"/>
          <w:szCs w:val="28"/>
          <w:lang w:val="cs-CZ"/>
        </w:rPr>
        <w:t>Domácí úkoly</w:t>
      </w:r>
    </w:p>
    <w:p w14:paraId="70C98EC9" w14:textId="7F77A33C" w:rsidR="006A0497" w:rsidRDefault="006A0497" w:rsidP="00D80BB1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</w:p>
    <w:p w14:paraId="1E8B0EB5" w14:textId="2ED680D1" w:rsidR="004B6075" w:rsidRPr="004B6075" w:rsidRDefault="00BC6208" w:rsidP="004B6075">
      <w:pPr>
        <w:pStyle w:val="Odstavecseseznamem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r w:rsidRPr="006F0B50">
        <w:rPr>
          <w:b/>
          <w:sz w:val="24"/>
          <w:szCs w:val="24"/>
          <w:lang w:val="cs-CZ"/>
        </w:rPr>
        <w:t xml:space="preserve">Kde a jak dochází v trávicí trubici </w:t>
      </w:r>
      <w:r w:rsidR="004B6075" w:rsidRPr="006F0B50">
        <w:rPr>
          <w:b/>
          <w:sz w:val="24"/>
          <w:szCs w:val="24"/>
          <w:lang w:val="cs-CZ"/>
        </w:rPr>
        <w:t>k vstřebávání</w:t>
      </w:r>
      <w:r w:rsidR="004B6075" w:rsidRPr="004B6075">
        <w:rPr>
          <w:sz w:val="24"/>
          <w:szCs w:val="24"/>
          <w:lang w:val="cs-CZ"/>
        </w:rPr>
        <w:t xml:space="preserve">  </w:t>
      </w:r>
      <w:r w:rsidR="004B6075" w:rsidRPr="004B6075">
        <w:rPr>
          <w:sz w:val="24"/>
          <w:szCs w:val="24"/>
          <w:lang w:val="cs-CZ"/>
        </w:rPr>
        <w:tab/>
      </w:r>
      <w:r w:rsidR="004B6075" w:rsidRPr="004B6075">
        <w:rPr>
          <w:rFonts w:asciiTheme="majorHAnsi" w:hAnsiTheme="majorHAnsi" w:cstheme="majorHAnsi"/>
          <w:sz w:val="24"/>
          <w:szCs w:val="24"/>
          <w:lang w:val="cs-CZ"/>
        </w:rPr>
        <w:t>-      vody ?</w:t>
      </w:r>
    </w:p>
    <w:p w14:paraId="294C8D37" w14:textId="0BE51DD5" w:rsidR="004B6075" w:rsidRPr="004B6075" w:rsidRDefault="004B6075" w:rsidP="004B6075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Na+  a Ca++ ?</w:t>
      </w:r>
    </w:p>
    <w:p w14:paraId="39D166D0" w14:textId="221B4879" w:rsidR="006A0497" w:rsidRPr="004B6075" w:rsidRDefault="004B6075" w:rsidP="004B6075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proofErr w:type="gramStart"/>
      <w:r w:rsidRPr="004B6075">
        <w:rPr>
          <w:rFonts w:asciiTheme="majorHAnsi" w:hAnsiTheme="majorHAnsi" w:cstheme="majorHAnsi"/>
          <w:sz w:val="24"/>
          <w:szCs w:val="24"/>
          <w:lang w:val="cs-CZ"/>
        </w:rPr>
        <w:t>Vitamínu C</w:t>
      </w:r>
      <w:r>
        <w:rPr>
          <w:rFonts w:asciiTheme="majorHAnsi" w:hAnsiTheme="majorHAnsi" w:cstheme="majorHAnsi"/>
          <w:sz w:val="24"/>
          <w:szCs w:val="24"/>
          <w:lang w:val="cs-CZ"/>
        </w:rPr>
        <w:t xml:space="preserve"> ?</w:t>
      </w:r>
      <w:proofErr w:type="gramEnd"/>
    </w:p>
    <w:p w14:paraId="00BE3E8E" w14:textId="326ACDFB" w:rsidR="004B6075" w:rsidRPr="004B6075" w:rsidRDefault="004B6075" w:rsidP="004B6075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proofErr w:type="spellStart"/>
      <w:r w:rsidRPr="004B6075">
        <w:rPr>
          <w:rFonts w:asciiTheme="majorHAnsi" w:hAnsiTheme="majorHAnsi" w:cstheme="majorHAnsi"/>
          <w:bCs/>
          <w:color w:val="202122"/>
          <w:sz w:val="24"/>
          <w:szCs w:val="24"/>
          <w:shd w:val="clear" w:color="auto" w:fill="FFFFFF"/>
        </w:rPr>
        <w:t>Vitamín</w:t>
      </w:r>
      <w:r w:rsidR="003534C8">
        <w:rPr>
          <w:rFonts w:asciiTheme="majorHAnsi" w:hAnsiTheme="majorHAnsi" w:cstheme="majorHAnsi"/>
          <w:bCs/>
          <w:color w:val="202122"/>
          <w:sz w:val="24"/>
          <w:szCs w:val="24"/>
          <w:shd w:val="clear" w:color="auto" w:fill="FFFFFF"/>
        </w:rPr>
        <w:t>u</w:t>
      </w:r>
      <w:proofErr w:type="spellEnd"/>
      <w:r w:rsidRPr="004B6075">
        <w:rPr>
          <w:rFonts w:asciiTheme="majorHAnsi" w:hAnsiTheme="majorHAnsi" w:cstheme="majorHAnsi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4B6075">
        <w:rPr>
          <w:rFonts w:asciiTheme="majorHAnsi" w:hAnsiTheme="majorHAnsi" w:cstheme="majorHAnsi"/>
          <w:bCs/>
          <w:color w:val="202122"/>
          <w:sz w:val="24"/>
          <w:szCs w:val="24"/>
          <w:shd w:val="clear" w:color="auto" w:fill="FFFFFF"/>
        </w:rPr>
        <w:t>D</w:t>
      </w:r>
      <w:r>
        <w:rPr>
          <w:rFonts w:asciiTheme="majorHAnsi" w:hAnsiTheme="majorHAnsi" w:cstheme="majorHAnsi"/>
          <w:bCs/>
          <w:color w:val="202122"/>
          <w:sz w:val="24"/>
          <w:szCs w:val="24"/>
          <w:shd w:val="clear" w:color="auto" w:fill="FFFFFF"/>
        </w:rPr>
        <w:t xml:space="preserve"> ?</w:t>
      </w:r>
      <w:proofErr w:type="gramEnd"/>
    </w:p>
    <w:p w14:paraId="7FED2EF8" w14:textId="3017D8C0" w:rsidR="004B6075" w:rsidRDefault="004B6075" w:rsidP="004B6075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cs-CZ"/>
        </w:rPr>
        <w:t>Vitamínu K ?</w:t>
      </w:r>
      <w:proofErr w:type="gramEnd"/>
    </w:p>
    <w:p w14:paraId="51A0A197" w14:textId="1EC739EC" w:rsidR="004B6075" w:rsidRDefault="00B43FDD" w:rsidP="004B6075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Žlučových kyselin</w:t>
      </w:r>
      <w:r w:rsidR="004B6075">
        <w:rPr>
          <w:rFonts w:asciiTheme="majorHAnsi" w:hAnsiTheme="majorHAnsi" w:cstheme="majorHAnsi"/>
          <w:sz w:val="24"/>
          <w:szCs w:val="24"/>
          <w:lang w:val="cs-CZ"/>
        </w:rPr>
        <w:t>?</w:t>
      </w:r>
    </w:p>
    <w:p w14:paraId="0F234175" w14:textId="3D491117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37218615" w14:textId="1C21AE98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5333C453" w14:textId="03FF8C75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7DBC11FB" w14:textId="330AD434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417B98D8" w14:textId="3DA37B06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43B365E1" w14:textId="54583444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bookmarkStart w:id="0" w:name="_GoBack"/>
      <w:bookmarkEnd w:id="0"/>
    </w:p>
    <w:p w14:paraId="56D9F223" w14:textId="022B15F7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49F651C3" w14:textId="09AB860E" w:rsid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144273E5" w14:textId="77777777" w:rsidR="006F0B50" w:rsidRP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</w:p>
    <w:p w14:paraId="2B9C2EB6" w14:textId="1C2AE817" w:rsidR="004B6075" w:rsidRPr="006F0B50" w:rsidRDefault="004B6075" w:rsidP="004B6075">
      <w:pPr>
        <w:pStyle w:val="Odstavecseseznamem"/>
        <w:numPr>
          <w:ilvl w:val="0"/>
          <w:numId w:val="22"/>
        </w:numPr>
        <w:spacing w:before="120" w:after="0" w:line="240" w:lineRule="auto"/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6F0B50">
        <w:rPr>
          <w:rFonts w:asciiTheme="majorHAnsi" w:hAnsiTheme="majorHAnsi" w:cstheme="majorHAnsi"/>
          <w:b/>
          <w:sz w:val="24"/>
          <w:szCs w:val="24"/>
          <w:lang w:val="cs-CZ"/>
        </w:rPr>
        <w:lastRenderedPageBreak/>
        <w:t>Doplňte tabulku</w:t>
      </w:r>
    </w:p>
    <w:p w14:paraId="181104CE" w14:textId="7C0310DD" w:rsidR="006A0497" w:rsidRPr="006F0B50" w:rsidRDefault="006F0B50" w:rsidP="006F0B50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8A149F9" wp14:editId="29C1A641">
            <wp:extent cx="5423955" cy="85820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73" cy="860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0EDB" w14:textId="1632B4A6" w:rsidR="006F0B50" w:rsidRP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lastRenderedPageBreak/>
        <w:t>3)</w:t>
      </w:r>
      <w:r w:rsidRPr="006F0B50">
        <w:t xml:space="preserve"> </w:t>
      </w:r>
      <w:r>
        <w:rPr>
          <w:sz w:val="24"/>
          <w:szCs w:val="24"/>
          <w:lang w:val="cs-CZ"/>
        </w:rPr>
        <w:t xml:space="preserve">  </w:t>
      </w:r>
      <w:r w:rsidR="0040494A">
        <w:rPr>
          <w:b/>
          <w:sz w:val="24"/>
          <w:szCs w:val="24"/>
          <w:lang w:val="cs-CZ"/>
        </w:rPr>
        <w:t>Kazuistika – Patologicky</w:t>
      </w:r>
      <w:r w:rsidRPr="006F0B50">
        <w:rPr>
          <w:b/>
          <w:sz w:val="24"/>
          <w:szCs w:val="24"/>
          <w:lang w:val="cs-CZ"/>
        </w:rPr>
        <w:t xml:space="preserve"> zvýšená produkce gastrinu</w:t>
      </w:r>
    </w:p>
    <w:p w14:paraId="1FA3945E" w14:textId="77777777" w:rsidR="006F0B50" w:rsidRP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617FA573" w14:textId="30050C60" w:rsidR="006F0B50" w:rsidRP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 xml:space="preserve">Patologický zvýšená produkce gastrinu (vyšší produkce </w:t>
      </w:r>
      <w:proofErr w:type="spellStart"/>
      <w:r w:rsidRPr="006F0B50">
        <w:rPr>
          <w:sz w:val="24"/>
          <w:szCs w:val="24"/>
          <w:lang w:val="cs-CZ"/>
        </w:rPr>
        <w:t>HCl</w:t>
      </w:r>
      <w:proofErr w:type="spellEnd"/>
      <w:r w:rsidRPr="006F0B50">
        <w:rPr>
          <w:sz w:val="24"/>
          <w:szCs w:val="24"/>
          <w:lang w:val="cs-CZ"/>
        </w:rPr>
        <w:t xml:space="preserve">, </w:t>
      </w:r>
      <w:r w:rsidR="00B43FDD">
        <w:rPr>
          <w:sz w:val="24"/>
          <w:szCs w:val="24"/>
          <w:lang w:val="cs-CZ"/>
        </w:rPr>
        <w:t>která</w:t>
      </w:r>
      <w:r w:rsidRPr="006F0B50">
        <w:rPr>
          <w:sz w:val="24"/>
          <w:szCs w:val="24"/>
          <w:lang w:val="cs-CZ"/>
        </w:rPr>
        <w:t xml:space="preserve"> jednak přímo poškozuje duodenum, a jednak stimuluje produkci pepsinogenu – duodenální vřed)</w:t>
      </w:r>
    </w:p>
    <w:p w14:paraId="78FB1BAB" w14:textId="77777777" w:rsidR="006F0B50" w:rsidRP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546168BB" w14:textId="1E75BFAB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 xml:space="preserve">Pacientka 25 let, perzistentní </w:t>
      </w:r>
      <w:proofErr w:type="spellStart"/>
      <w:r w:rsidRPr="006F0B50">
        <w:rPr>
          <w:i/>
          <w:sz w:val="24"/>
          <w:szCs w:val="24"/>
          <w:lang w:val="cs-CZ"/>
        </w:rPr>
        <w:t>diarrhea</w:t>
      </w:r>
      <w:proofErr w:type="spellEnd"/>
      <w:r w:rsidRPr="006F0B50">
        <w:rPr>
          <w:i/>
          <w:sz w:val="24"/>
          <w:szCs w:val="24"/>
          <w:lang w:val="cs-CZ"/>
        </w:rPr>
        <w:t xml:space="preserve"> (+ </w:t>
      </w:r>
      <w:proofErr w:type="spellStart"/>
      <w:r w:rsidRPr="006F0B50">
        <w:rPr>
          <w:i/>
          <w:sz w:val="24"/>
          <w:szCs w:val="24"/>
          <w:lang w:val="cs-CZ"/>
        </w:rPr>
        <w:t>st</w:t>
      </w:r>
      <w:r w:rsidR="00200E42">
        <w:rPr>
          <w:i/>
          <w:sz w:val="24"/>
          <w:szCs w:val="24"/>
          <w:lang w:val="cs-CZ"/>
        </w:rPr>
        <w:t>e</w:t>
      </w:r>
      <w:r w:rsidRPr="006F0B50">
        <w:rPr>
          <w:i/>
          <w:sz w:val="24"/>
          <w:szCs w:val="24"/>
          <w:lang w:val="cs-CZ"/>
        </w:rPr>
        <w:t>atorrhea</w:t>
      </w:r>
      <w:proofErr w:type="spellEnd"/>
      <w:r w:rsidRPr="006F0B50">
        <w:rPr>
          <w:i/>
          <w:sz w:val="24"/>
          <w:szCs w:val="24"/>
          <w:lang w:val="cs-CZ"/>
        </w:rPr>
        <w:t xml:space="preserve">) a bolest břicha, trochu úleva jídlem. </w:t>
      </w:r>
    </w:p>
    <w:p w14:paraId="37FBA048" w14:textId="0803A3FD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 xml:space="preserve">• RTG horního GIT + endoskopie: duodenální vřed. </w:t>
      </w:r>
    </w:p>
    <w:p w14:paraId="4B40B589" w14:textId="3EA98297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 xml:space="preserve">• Bazální sekrece HCL v žaludku 12 </w:t>
      </w:r>
      <w:proofErr w:type="spellStart"/>
      <w:r w:rsidRPr="006F0B50">
        <w:rPr>
          <w:i/>
          <w:sz w:val="24"/>
          <w:szCs w:val="24"/>
          <w:lang w:val="cs-CZ"/>
        </w:rPr>
        <w:t>mmol</w:t>
      </w:r>
      <w:proofErr w:type="spellEnd"/>
      <w:r w:rsidRPr="006F0B50">
        <w:rPr>
          <w:i/>
          <w:sz w:val="24"/>
          <w:szCs w:val="24"/>
          <w:lang w:val="cs-CZ"/>
        </w:rPr>
        <w:t xml:space="preserve">/hod (norma 1-5), </w:t>
      </w:r>
    </w:p>
    <w:p w14:paraId="0C811846" w14:textId="727BB9FB" w:rsidR="006F0B50" w:rsidRPr="006F0B50" w:rsidRDefault="006F0B50" w:rsidP="006F0B50">
      <w:pPr>
        <w:pStyle w:val="Odstavecseseznamem"/>
        <w:spacing w:before="120" w:after="0" w:line="240" w:lineRule="auto"/>
        <w:ind w:left="1440"/>
        <w:rPr>
          <w:i/>
          <w:sz w:val="24"/>
          <w:szCs w:val="24"/>
          <w:lang w:val="cs-CZ"/>
        </w:rPr>
      </w:pPr>
      <w:r w:rsidRPr="006F0B50">
        <w:rPr>
          <w:b/>
          <w:i/>
          <w:sz w:val="24"/>
          <w:szCs w:val="24"/>
          <w:lang w:val="cs-CZ"/>
        </w:rPr>
        <w:t>o</w:t>
      </w:r>
      <w:r w:rsidRPr="006F0B50">
        <w:rPr>
          <w:i/>
          <w:sz w:val="24"/>
          <w:szCs w:val="24"/>
          <w:lang w:val="cs-CZ"/>
        </w:rPr>
        <w:t xml:space="preserve"> snížena pod normální hodnoty blokátorem H2 receptorů (</w:t>
      </w:r>
      <w:proofErr w:type="spellStart"/>
      <w:r w:rsidRPr="006F0B50">
        <w:rPr>
          <w:i/>
          <w:sz w:val="24"/>
          <w:szCs w:val="24"/>
          <w:lang w:val="cs-CZ"/>
        </w:rPr>
        <w:t>cimetidin</w:t>
      </w:r>
      <w:proofErr w:type="spellEnd"/>
      <w:r w:rsidRPr="006F0B50">
        <w:rPr>
          <w:i/>
          <w:sz w:val="24"/>
          <w:szCs w:val="24"/>
          <w:lang w:val="cs-CZ"/>
        </w:rPr>
        <w:t xml:space="preserve">), ale jen velkými a častými dávkami, </w:t>
      </w:r>
    </w:p>
    <w:p w14:paraId="4F8CDE31" w14:textId="7BD7FC57" w:rsidR="006F0B50" w:rsidRPr="006F0B50" w:rsidRDefault="006F0B50" w:rsidP="006F0B50">
      <w:pPr>
        <w:pStyle w:val="Odstavecseseznamem"/>
        <w:spacing w:before="120" w:after="0" w:line="240" w:lineRule="auto"/>
        <w:ind w:firstLine="720"/>
        <w:rPr>
          <w:i/>
          <w:sz w:val="24"/>
          <w:szCs w:val="24"/>
          <w:lang w:val="cs-CZ"/>
        </w:rPr>
      </w:pPr>
      <w:r w:rsidRPr="006F0B50">
        <w:rPr>
          <w:b/>
          <w:i/>
          <w:sz w:val="24"/>
          <w:szCs w:val="24"/>
          <w:lang w:val="cs-CZ"/>
        </w:rPr>
        <w:t>o</w:t>
      </w:r>
      <w:r w:rsidRPr="006F0B50">
        <w:rPr>
          <w:i/>
          <w:sz w:val="24"/>
          <w:szCs w:val="24"/>
          <w:lang w:val="cs-CZ"/>
        </w:rPr>
        <w:t xml:space="preserve"> tento efekt potencován </w:t>
      </w:r>
      <w:proofErr w:type="spellStart"/>
      <w:r w:rsidRPr="006F0B50">
        <w:rPr>
          <w:i/>
          <w:sz w:val="24"/>
          <w:szCs w:val="24"/>
          <w:lang w:val="cs-CZ"/>
        </w:rPr>
        <w:t>cholinergním</w:t>
      </w:r>
      <w:proofErr w:type="spellEnd"/>
      <w:r w:rsidRPr="006F0B50">
        <w:rPr>
          <w:i/>
          <w:sz w:val="24"/>
          <w:szCs w:val="24"/>
          <w:lang w:val="cs-CZ"/>
        </w:rPr>
        <w:t xml:space="preserve"> antagonistou. </w:t>
      </w:r>
    </w:p>
    <w:p w14:paraId="6A34D072" w14:textId="0C8D0DA6" w:rsidR="006F0B50" w:rsidRPr="006F0B50" w:rsidRDefault="006F0B50" w:rsidP="006F0B50">
      <w:pPr>
        <w:pStyle w:val="Odstavecseseznamem"/>
        <w:spacing w:before="120" w:after="0" w:line="240" w:lineRule="auto"/>
        <w:ind w:left="1440"/>
        <w:rPr>
          <w:i/>
          <w:sz w:val="24"/>
          <w:szCs w:val="24"/>
          <w:lang w:val="cs-CZ"/>
        </w:rPr>
      </w:pPr>
      <w:r w:rsidRPr="006F0B50">
        <w:rPr>
          <w:b/>
          <w:i/>
          <w:sz w:val="24"/>
          <w:szCs w:val="24"/>
          <w:lang w:val="cs-CZ"/>
        </w:rPr>
        <w:t>o</w:t>
      </w:r>
      <w:r w:rsidRPr="006F0B50">
        <w:rPr>
          <w:i/>
          <w:sz w:val="24"/>
          <w:szCs w:val="24"/>
          <w:lang w:val="cs-CZ"/>
        </w:rPr>
        <w:t xml:space="preserve">  Inhibice H/K </w:t>
      </w:r>
      <w:proofErr w:type="spellStart"/>
      <w:r w:rsidRPr="006F0B50">
        <w:rPr>
          <w:i/>
          <w:sz w:val="24"/>
          <w:szCs w:val="24"/>
          <w:lang w:val="cs-CZ"/>
        </w:rPr>
        <w:t>ATPázy</w:t>
      </w:r>
      <w:proofErr w:type="spellEnd"/>
      <w:r w:rsidRPr="006F0B50">
        <w:rPr>
          <w:i/>
          <w:sz w:val="24"/>
          <w:szCs w:val="24"/>
          <w:lang w:val="cs-CZ"/>
        </w:rPr>
        <w:t xml:space="preserve"> (</w:t>
      </w:r>
      <w:proofErr w:type="spellStart"/>
      <w:r w:rsidRPr="006F0B50">
        <w:rPr>
          <w:i/>
          <w:sz w:val="24"/>
          <w:szCs w:val="24"/>
          <w:lang w:val="cs-CZ"/>
        </w:rPr>
        <w:t>omeprazol</w:t>
      </w:r>
      <w:proofErr w:type="spellEnd"/>
      <w:r w:rsidRPr="006F0B50">
        <w:rPr>
          <w:i/>
          <w:sz w:val="24"/>
          <w:szCs w:val="24"/>
          <w:lang w:val="cs-CZ"/>
        </w:rPr>
        <w:t xml:space="preserve">) v normálním dávkování snížila produkci </w:t>
      </w:r>
      <w:proofErr w:type="spellStart"/>
      <w:r w:rsidRPr="006F0B50">
        <w:rPr>
          <w:i/>
          <w:sz w:val="24"/>
          <w:szCs w:val="24"/>
          <w:lang w:val="cs-CZ"/>
        </w:rPr>
        <w:t>HCl</w:t>
      </w:r>
      <w:proofErr w:type="spellEnd"/>
      <w:r w:rsidRPr="006F0B50">
        <w:rPr>
          <w:i/>
          <w:sz w:val="24"/>
          <w:szCs w:val="24"/>
          <w:lang w:val="cs-CZ"/>
        </w:rPr>
        <w:t xml:space="preserve"> pod normální úroveň. </w:t>
      </w:r>
    </w:p>
    <w:p w14:paraId="072D8CAB" w14:textId="3AADF555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 xml:space="preserve">• Koncentrace gastrinu v séru 1145 </w:t>
      </w:r>
      <w:proofErr w:type="spellStart"/>
      <w:r w:rsidRPr="006F0B50">
        <w:rPr>
          <w:i/>
          <w:sz w:val="24"/>
          <w:szCs w:val="24"/>
          <w:lang w:val="cs-CZ"/>
        </w:rPr>
        <w:t>pg</w:t>
      </w:r>
      <w:proofErr w:type="spellEnd"/>
      <w:r w:rsidRPr="006F0B50">
        <w:rPr>
          <w:i/>
          <w:sz w:val="24"/>
          <w:szCs w:val="24"/>
          <w:lang w:val="cs-CZ"/>
        </w:rPr>
        <w:t xml:space="preserve">/ml (norma 50-150), </w:t>
      </w:r>
    </w:p>
    <w:p w14:paraId="797A3B22" w14:textId="189C9904" w:rsidR="006F0B50" w:rsidRPr="006F0B50" w:rsidRDefault="006F0B50" w:rsidP="006F0B50">
      <w:pPr>
        <w:pStyle w:val="Odstavecseseznamem"/>
        <w:spacing w:before="120" w:after="0" w:line="240" w:lineRule="auto"/>
        <w:ind w:left="1440"/>
        <w:rPr>
          <w:i/>
          <w:sz w:val="24"/>
          <w:szCs w:val="24"/>
          <w:lang w:val="cs-CZ"/>
        </w:rPr>
      </w:pPr>
      <w:r w:rsidRPr="006F0B50">
        <w:rPr>
          <w:b/>
          <w:i/>
          <w:sz w:val="24"/>
          <w:szCs w:val="24"/>
          <w:lang w:val="cs-CZ"/>
        </w:rPr>
        <w:t>o</w:t>
      </w:r>
      <w:r w:rsidRPr="006F0B50">
        <w:rPr>
          <w:i/>
          <w:sz w:val="24"/>
          <w:szCs w:val="24"/>
          <w:lang w:val="cs-CZ"/>
        </w:rPr>
        <w:t xml:space="preserve"> významně se nezvýšila po zkušebním jídle (u zdravých se přechodně cca zdvojnásobí). </w:t>
      </w:r>
    </w:p>
    <w:p w14:paraId="613B7E56" w14:textId="07549CF0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>•</w:t>
      </w:r>
      <w:r w:rsidR="0040494A">
        <w:rPr>
          <w:i/>
          <w:sz w:val="24"/>
          <w:szCs w:val="24"/>
          <w:lang w:val="cs-CZ"/>
        </w:rPr>
        <w:t xml:space="preserve"> Odčerpávání žaludeční šťávy son</w:t>
      </w:r>
      <w:r w:rsidRPr="006F0B50">
        <w:rPr>
          <w:i/>
          <w:sz w:val="24"/>
          <w:szCs w:val="24"/>
          <w:lang w:val="cs-CZ"/>
        </w:rPr>
        <w:t>dou po 24 hod spravilo průjem.</w:t>
      </w:r>
    </w:p>
    <w:p w14:paraId="426A942A" w14:textId="43988D4F" w:rsidR="006F0B50" w:rsidRPr="006F0B50" w:rsidRDefault="006F0B50" w:rsidP="006F0B50">
      <w:pPr>
        <w:pStyle w:val="Odstavecseseznamem"/>
        <w:spacing w:before="120" w:after="0" w:line="240" w:lineRule="auto"/>
        <w:rPr>
          <w:i/>
          <w:sz w:val="24"/>
          <w:szCs w:val="24"/>
          <w:lang w:val="cs-CZ"/>
        </w:rPr>
      </w:pPr>
      <w:r w:rsidRPr="006F0B50">
        <w:rPr>
          <w:i/>
          <w:sz w:val="24"/>
          <w:szCs w:val="24"/>
          <w:lang w:val="cs-CZ"/>
        </w:rPr>
        <w:t xml:space="preserve">• Endoskopická biopsie </w:t>
      </w:r>
      <w:proofErr w:type="spellStart"/>
      <w:r w:rsidRPr="006F0B50">
        <w:rPr>
          <w:i/>
          <w:sz w:val="24"/>
          <w:szCs w:val="24"/>
          <w:lang w:val="cs-CZ"/>
        </w:rPr>
        <w:t>mukosy</w:t>
      </w:r>
      <w:proofErr w:type="spellEnd"/>
      <w:r w:rsidRPr="006F0B50">
        <w:rPr>
          <w:i/>
          <w:sz w:val="24"/>
          <w:szCs w:val="24"/>
          <w:lang w:val="cs-CZ"/>
        </w:rPr>
        <w:t xml:space="preserve"> žaludečního fundu: zmnožené žaludeční žlázky + větší </w:t>
      </w:r>
      <w:proofErr w:type="spellStart"/>
      <w:r w:rsidRPr="006F0B50">
        <w:rPr>
          <w:i/>
          <w:sz w:val="24"/>
          <w:szCs w:val="24"/>
          <w:lang w:val="cs-CZ"/>
        </w:rPr>
        <w:t>densita</w:t>
      </w:r>
      <w:proofErr w:type="spellEnd"/>
      <w:r w:rsidRPr="006F0B50">
        <w:rPr>
          <w:i/>
          <w:sz w:val="24"/>
          <w:szCs w:val="24"/>
          <w:lang w:val="cs-CZ"/>
        </w:rPr>
        <w:t xml:space="preserve"> parietálních buněk. </w:t>
      </w:r>
    </w:p>
    <w:p w14:paraId="7931DBF5" w14:textId="2417E131" w:rsidR="004B6075" w:rsidRDefault="004B6075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4326EAAC" w14:textId="6D5727A2" w:rsidR="006F0B50" w:rsidRPr="006F0B50" w:rsidRDefault="006F0B50" w:rsidP="006F0B50">
      <w:pPr>
        <w:pStyle w:val="Odstavecseseznamem"/>
        <w:spacing w:before="120" w:after="0" w:line="240" w:lineRule="auto"/>
        <w:rPr>
          <w:b/>
          <w:sz w:val="24"/>
          <w:szCs w:val="24"/>
          <w:lang w:val="cs-CZ"/>
        </w:rPr>
      </w:pPr>
      <w:r w:rsidRPr="006F0B50">
        <w:rPr>
          <w:b/>
          <w:sz w:val="24"/>
          <w:szCs w:val="24"/>
          <w:lang w:val="cs-CZ"/>
        </w:rPr>
        <w:t>Odpovězte na Otázky:</w:t>
      </w:r>
    </w:p>
    <w:p w14:paraId="5F7C6183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Proč může mít zvýšenou žaludeční produkci </w:t>
      </w:r>
      <w:proofErr w:type="spellStart"/>
      <w:r w:rsidRPr="006F0B50">
        <w:rPr>
          <w:sz w:val="24"/>
          <w:szCs w:val="24"/>
          <w:lang w:val="cs-CZ"/>
        </w:rPr>
        <w:t>HCl</w:t>
      </w:r>
      <w:proofErr w:type="spellEnd"/>
      <w:r w:rsidRPr="006F0B50">
        <w:rPr>
          <w:sz w:val="24"/>
          <w:szCs w:val="24"/>
          <w:lang w:val="cs-CZ"/>
        </w:rPr>
        <w:t>?</w:t>
      </w:r>
    </w:p>
    <w:p w14:paraId="74629AC4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>Jakou byste očekávali produkci pepsinogenu?</w:t>
      </w:r>
    </w:p>
    <w:p w14:paraId="568416DB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>Proč má duodenální vřed?</w:t>
      </w:r>
    </w:p>
    <w:p w14:paraId="1EA0D8E0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>Proč nemá žaludeční vřed?</w:t>
      </w:r>
    </w:p>
    <w:p w14:paraId="4E87D557" w14:textId="5900CF8A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</w:r>
      <w:r w:rsidR="00B43FDD">
        <w:rPr>
          <w:sz w:val="24"/>
          <w:szCs w:val="24"/>
          <w:lang w:val="cs-CZ"/>
        </w:rPr>
        <w:t>Čím by mohl být zvýšený gastrin?</w:t>
      </w:r>
    </w:p>
    <w:p w14:paraId="25C88A7A" w14:textId="54D109BA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Proč má </w:t>
      </w:r>
      <w:proofErr w:type="spellStart"/>
      <w:r w:rsidRPr="006F0B50">
        <w:rPr>
          <w:sz w:val="24"/>
          <w:szCs w:val="24"/>
          <w:lang w:val="cs-CZ"/>
        </w:rPr>
        <w:t>st</w:t>
      </w:r>
      <w:r w:rsidR="00200E42">
        <w:rPr>
          <w:sz w:val="24"/>
          <w:szCs w:val="24"/>
          <w:lang w:val="cs-CZ"/>
        </w:rPr>
        <w:t>e</w:t>
      </w:r>
      <w:r w:rsidRPr="006F0B50">
        <w:rPr>
          <w:sz w:val="24"/>
          <w:szCs w:val="24"/>
          <w:lang w:val="cs-CZ"/>
        </w:rPr>
        <w:t>atorrheu</w:t>
      </w:r>
      <w:proofErr w:type="spellEnd"/>
      <w:r w:rsidRPr="006F0B50">
        <w:rPr>
          <w:sz w:val="24"/>
          <w:szCs w:val="24"/>
          <w:lang w:val="cs-CZ"/>
        </w:rPr>
        <w:t>?</w:t>
      </w:r>
    </w:p>
    <w:p w14:paraId="27A1F0DC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>Proč má průjem?</w:t>
      </w:r>
    </w:p>
    <w:p w14:paraId="44792E2E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Proč má zvýšenou </w:t>
      </w:r>
      <w:proofErr w:type="spellStart"/>
      <w:r w:rsidRPr="006F0B50">
        <w:rPr>
          <w:sz w:val="24"/>
          <w:szCs w:val="24"/>
          <w:lang w:val="cs-CZ"/>
        </w:rPr>
        <w:t>densitu</w:t>
      </w:r>
      <w:proofErr w:type="spellEnd"/>
      <w:r w:rsidRPr="006F0B50">
        <w:rPr>
          <w:sz w:val="24"/>
          <w:szCs w:val="24"/>
          <w:lang w:val="cs-CZ"/>
        </w:rPr>
        <w:t xml:space="preserve"> parietálních buněk v </w:t>
      </w:r>
      <w:proofErr w:type="spellStart"/>
      <w:r w:rsidRPr="006F0B50">
        <w:rPr>
          <w:sz w:val="24"/>
          <w:szCs w:val="24"/>
          <w:lang w:val="cs-CZ"/>
        </w:rPr>
        <w:t>mukose</w:t>
      </w:r>
      <w:proofErr w:type="spellEnd"/>
      <w:r w:rsidRPr="006F0B50">
        <w:rPr>
          <w:sz w:val="24"/>
          <w:szCs w:val="24"/>
          <w:lang w:val="cs-CZ"/>
        </w:rPr>
        <w:t xml:space="preserve"> fundu?</w:t>
      </w:r>
    </w:p>
    <w:p w14:paraId="6AD2700C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>Proč se jí po jídle nezvýšil gastrin?</w:t>
      </w:r>
    </w:p>
    <w:p w14:paraId="6BBA88D1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Proč u ní funguje </w:t>
      </w:r>
      <w:proofErr w:type="spellStart"/>
      <w:r w:rsidRPr="006F0B50">
        <w:rPr>
          <w:sz w:val="24"/>
          <w:szCs w:val="24"/>
          <w:lang w:val="cs-CZ"/>
        </w:rPr>
        <w:t>cimetidin</w:t>
      </w:r>
      <w:proofErr w:type="spellEnd"/>
      <w:r w:rsidRPr="006F0B50">
        <w:rPr>
          <w:sz w:val="24"/>
          <w:szCs w:val="24"/>
          <w:lang w:val="cs-CZ"/>
        </w:rPr>
        <w:t>? A proč jen v tak velkém dávkování?</w:t>
      </w:r>
    </w:p>
    <w:p w14:paraId="0986EF57" w14:textId="5D4B7CDF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Proč byl efekt </w:t>
      </w:r>
      <w:proofErr w:type="spellStart"/>
      <w:r w:rsidRPr="006F0B50">
        <w:rPr>
          <w:sz w:val="24"/>
          <w:szCs w:val="24"/>
          <w:lang w:val="cs-CZ"/>
        </w:rPr>
        <w:t>cimetidinu</w:t>
      </w:r>
      <w:proofErr w:type="spellEnd"/>
      <w:r w:rsidRPr="006F0B50">
        <w:rPr>
          <w:sz w:val="24"/>
          <w:szCs w:val="24"/>
          <w:lang w:val="cs-CZ"/>
        </w:rPr>
        <w:t xml:space="preserve"> na </w:t>
      </w:r>
      <w:proofErr w:type="spellStart"/>
      <w:r w:rsidRPr="006F0B50">
        <w:rPr>
          <w:sz w:val="24"/>
          <w:szCs w:val="24"/>
          <w:lang w:val="cs-CZ"/>
        </w:rPr>
        <w:t>HCl</w:t>
      </w:r>
      <w:proofErr w:type="spellEnd"/>
      <w:r w:rsidRPr="006F0B50">
        <w:rPr>
          <w:sz w:val="24"/>
          <w:szCs w:val="24"/>
          <w:lang w:val="cs-CZ"/>
        </w:rPr>
        <w:t xml:space="preserve"> potencován </w:t>
      </w:r>
      <w:proofErr w:type="spellStart"/>
      <w:r w:rsidRPr="006F0B50">
        <w:rPr>
          <w:sz w:val="24"/>
          <w:szCs w:val="24"/>
          <w:lang w:val="cs-CZ"/>
        </w:rPr>
        <w:t>cholinergním</w:t>
      </w:r>
      <w:proofErr w:type="spellEnd"/>
      <w:r w:rsidRPr="006F0B50">
        <w:rPr>
          <w:sz w:val="24"/>
          <w:szCs w:val="24"/>
          <w:lang w:val="cs-CZ"/>
        </w:rPr>
        <w:t xml:space="preserve"> antagonis</w:t>
      </w:r>
      <w:r w:rsidR="00B43FDD">
        <w:rPr>
          <w:sz w:val="24"/>
          <w:szCs w:val="24"/>
          <w:lang w:val="cs-CZ"/>
        </w:rPr>
        <w:t>tou</w:t>
      </w:r>
      <w:r w:rsidRPr="006F0B50">
        <w:rPr>
          <w:sz w:val="24"/>
          <w:szCs w:val="24"/>
          <w:lang w:val="cs-CZ"/>
        </w:rPr>
        <w:t>?</w:t>
      </w:r>
    </w:p>
    <w:p w14:paraId="301E6454" w14:textId="77777777" w:rsidR="006F0B50" w:rsidRPr="006F0B50" w:rsidRDefault="006F0B50" w:rsidP="006F0B50">
      <w:pPr>
        <w:spacing w:before="120" w:after="0" w:line="240" w:lineRule="auto"/>
        <w:rPr>
          <w:sz w:val="24"/>
          <w:szCs w:val="24"/>
          <w:lang w:val="cs-CZ"/>
        </w:rPr>
      </w:pPr>
      <w:r w:rsidRPr="006F0B50">
        <w:rPr>
          <w:sz w:val="24"/>
          <w:szCs w:val="24"/>
          <w:lang w:val="cs-CZ"/>
        </w:rPr>
        <w:t>•</w:t>
      </w:r>
      <w:r w:rsidRPr="006F0B50">
        <w:rPr>
          <w:sz w:val="24"/>
          <w:szCs w:val="24"/>
          <w:lang w:val="cs-CZ"/>
        </w:rPr>
        <w:tab/>
        <w:t xml:space="preserve">Jak snižuje produkci </w:t>
      </w:r>
      <w:proofErr w:type="spellStart"/>
      <w:r w:rsidRPr="006F0B50">
        <w:rPr>
          <w:sz w:val="24"/>
          <w:szCs w:val="24"/>
          <w:lang w:val="cs-CZ"/>
        </w:rPr>
        <w:t>HCl</w:t>
      </w:r>
      <w:proofErr w:type="spellEnd"/>
      <w:r w:rsidRPr="006F0B50">
        <w:rPr>
          <w:sz w:val="24"/>
          <w:szCs w:val="24"/>
          <w:lang w:val="cs-CZ"/>
        </w:rPr>
        <w:t xml:space="preserve"> </w:t>
      </w:r>
      <w:proofErr w:type="spellStart"/>
      <w:r w:rsidRPr="006F0B50">
        <w:rPr>
          <w:sz w:val="24"/>
          <w:szCs w:val="24"/>
          <w:lang w:val="cs-CZ"/>
        </w:rPr>
        <w:t>omeprazol</w:t>
      </w:r>
      <w:proofErr w:type="spellEnd"/>
      <w:r w:rsidRPr="006F0B50">
        <w:rPr>
          <w:sz w:val="24"/>
          <w:szCs w:val="24"/>
          <w:lang w:val="cs-CZ"/>
        </w:rPr>
        <w:t xml:space="preserve">? Proč stačí </w:t>
      </w:r>
      <w:proofErr w:type="spellStart"/>
      <w:r w:rsidRPr="006F0B50">
        <w:rPr>
          <w:sz w:val="24"/>
          <w:szCs w:val="24"/>
          <w:lang w:val="cs-CZ"/>
        </w:rPr>
        <w:t>nomální</w:t>
      </w:r>
      <w:proofErr w:type="spellEnd"/>
      <w:r w:rsidRPr="006F0B50">
        <w:rPr>
          <w:sz w:val="24"/>
          <w:szCs w:val="24"/>
          <w:lang w:val="cs-CZ"/>
        </w:rPr>
        <w:t xml:space="preserve"> dávkování?</w:t>
      </w:r>
    </w:p>
    <w:p w14:paraId="022D6F6A" w14:textId="6FD590B3" w:rsid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6F1D27A6" w14:textId="4C86F8A0" w:rsid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70FCEC90" w14:textId="320C335E" w:rsid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191B7C16" w14:textId="77777777" w:rsidR="006F0B50" w:rsidRPr="006F0B50" w:rsidRDefault="006F0B50" w:rsidP="006F0B50">
      <w:pPr>
        <w:pStyle w:val="Odstavecseseznamem"/>
        <w:spacing w:before="120" w:after="0" w:line="240" w:lineRule="auto"/>
        <w:rPr>
          <w:sz w:val="24"/>
          <w:szCs w:val="24"/>
          <w:lang w:val="cs-CZ"/>
        </w:rPr>
      </w:pPr>
    </w:p>
    <w:p w14:paraId="6AB495AF" w14:textId="4E7410CA" w:rsidR="006F0B50" w:rsidRDefault="006F0B50" w:rsidP="006F0B50">
      <w:pPr>
        <w:pStyle w:val="Odstavecseseznamem"/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</w:p>
    <w:p w14:paraId="55B4E315" w14:textId="17788455" w:rsidR="006F0B50" w:rsidRDefault="006F0B50" w:rsidP="006F0B50">
      <w:pPr>
        <w:pStyle w:val="Odstavecseseznamem"/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</w:p>
    <w:p w14:paraId="05797358" w14:textId="77777777" w:rsidR="006F0B50" w:rsidRDefault="006F0B50" w:rsidP="006F0B50">
      <w:pPr>
        <w:pStyle w:val="Odstavecseseznamem"/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</w:p>
    <w:p w14:paraId="38BCAE08" w14:textId="3954B66A" w:rsidR="00D80BB1" w:rsidRPr="006A0497" w:rsidRDefault="006A0497" w:rsidP="00D80BB1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r w:rsidRPr="006A0497">
        <w:rPr>
          <w:b/>
          <w:color w:val="FF0000"/>
          <w:sz w:val="28"/>
          <w:szCs w:val="28"/>
          <w:lang w:val="cs-CZ"/>
        </w:rPr>
        <w:lastRenderedPageBreak/>
        <w:t>Studentské prezentace</w:t>
      </w:r>
    </w:p>
    <w:p w14:paraId="68BDDE81" w14:textId="77777777" w:rsidR="006B1F6D" w:rsidRPr="007D5C2F" w:rsidRDefault="006B1F6D" w:rsidP="00DD2D9B">
      <w:pPr>
        <w:pStyle w:val="Odstavecseseznamem"/>
        <w:spacing w:before="120"/>
        <w:rPr>
          <w:sz w:val="24"/>
          <w:szCs w:val="24"/>
          <w:lang w:val="cs-CZ"/>
        </w:rPr>
      </w:pPr>
    </w:p>
    <w:p w14:paraId="2D6BC7C7" w14:textId="61F78799" w:rsidR="007C5DEC" w:rsidRPr="007C5DEC" w:rsidRDefault="007C5DEC" w:rsidP="006A0497">
      <w:pPr>
        <w:pStyle w:val="Odstavecseseznamem"/>
        <w:spacing w:before="120" w:after="0" w:line="276" w:lineRule="auto"/>
        <w:rPr>
          <w:sz w:val="24"/>
          <w:szCs w:val="24"/>
          <w:lang w:val="cs-CZ"/>
        </w:rPr>
      </w:pPr>
      <w:r w:rsidRPr="007C5DEC">
        <w:rPr>
          <w:sz w:val="24"/>
          <w:szCs w:val="24"/>
          <w:lang w:val="cs-CZ"/>
        </w:rPr>
        <w:t>1. Regulace sekrece slin</w:t>
      </w:r>
    </w:p>
    <w:p w14:paraId="1ADBE00F" w14:textId="29BB8A22" w:rsidR="007C5DEC" w:rsidRPr="007C5DEC" w:rsidRDefault="007C5DEC" w:rsidP="006A0497">
      <w:pPr>
        <w:pStyle w:val="Odstavecseseznamem"/>
        <w:spacing w:before="120" w:after="0" w:line="276" w:lineRule="auto"/>
        <w:rPr>
          <w:sz w:val="24"/>
          <w:szCs w:val="24"/>
          <w:lang w:val="cs-CZ"/>
        </w:rPr>
      </w:pPr>
      <w:r w:rsidRPr="007C5DEC">
        <w:rPr>
          <w:sz w:val="24"/>
          <w:szCs w:val="24"/>
          <w:lang w:val="cs-CZ"/>
        </w:rPr>
        <w:t>2. Vyjmenujte a vysvětlete funkci protektivních a agresivních faktorů, které ovlivňují stav sliznice žaludeční stěny</w:t>
      </w:r>
    </w:p>
    <w:p w14:paraId="002F4CDC" w14:textId="45E098ED" w:rsidR="007C5DEC" w:rsidRPr="007C5DEC" w:rsidRDefault="007C5DEC" w:rsidP="006A0497">
      <w:pPr>
        <w:pStyle w:val="Odstavecseseznamem"/>
        <w:spacing w:before="120" w:after="0" w:line="276" w:lineRule="auto"/>
        <w:rPr>
          <w:sz w:val="24"/>
          <w:szCs w:val="24"/>
          <w:lang w:val="cs-CZ"/>
        </w:rPr>
      </w:pPr>
      <w:r w:rsidRPr="007C5DEC">
        <w:rPr>
          <w:sz w:val="24"/>
          <w:szCs w:val="24"/>
          <w:lang w:val="cs-CZ"/>
        </w:rPr>
        <w:t>3. Mechanismy regulace pankreatické sekrece a jejich efekty</w:t>
      </w:r>
    </w:p>
    <w:p w14:paraId="2D9E2278" w14:textId="3F98A46E" w:rsidR="00D80BB1" w:rsidRPr="0091120E" w:rsidRDefault="007C5DEC" w:rsidP="006A0497">
      <w:pPr>
        <w:pStyle w:val="Odstavecseseznamem"/>
        <w:spacing w:before="120" w:after="0" w:line="276" w:lineRule="auto"/>
        <w:rPr>
          <w:sz w:val="24"/>
          <w:szCs w:val="24"/>
          <w:lang w:val="cs-CZ"/>
        </w:rPr>
      </w:pPr>
      <w:r w:rsidRPr="007C5DEC">
        <w:rPr>
          <w:sz w:val="24"/>
          <w:szCs w:val="24"/>
          <w:lang w:val="cs-CZ"/>
        </w:rPr>
        <w:t>4. Popište princip fungování a význam žlučových kyselin pro trávení</w:t>
      </w:r>
    </w:p>
    <w:p w14:paraId="427D1911" w14:textId="5437844E" w:rsidR="007D5C2F" w:rsidRPr="00A2757A" w:rsidRDefault="007D5C2F" w:rsidP="00A2757A">
      <w:pPr>
        <w:spacing w:before="120" w:after="0" w:line="240" w:lineRule="auto"/>
        <w:rPr>
          <w:sz w:val="24"/>
          <w:szCs w:val="28"/>
          <w:lang w:val="cs-CZ"/>
        </w:rPr>
      </w:pPr>
    </w:p>
    <w:p w14:paraId="7F1233C9" w14:textId="7859A6D1" w:rsidR="00A75D58" w:rsidRDefault="00A75D58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2261A96C" w14:textId="17AD53B4" w:rsidR="00A75D58" w:rsidRDefault="00A75D58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6F70CE18" w14:textId="559F6747" w:rsidR="00A75D58" w:rsidRDefault="00A75D58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0C3C8A01" w14:textId="0986FA32" w:rsidR="003050AA" w:rsidRDefault="003050AA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1A38FBA0" w14:textId="1719EA17" w:rsidR="003050AA" w:rsidRDefault="003050AA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58363A56" w14:textId="3368E81C" w:rsidR="003050AA" w:rsidRDefault="003050AA" w:rsidP="00A75D58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</w:p>
    <w:p w14:paraId="5A9D3F1B" w14:textId="77777777" w:rsidR="003050AA" w:rsidRDefault="003050AA" w:rsidP="008D7983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</w:p>
    <w:p w14:paraId="6A4E1552" w14:textId="5094E599" w:rsidR="003050AA" w:rsidRDefault="003050AA" w:rsidP="003050AA">
      <w:pPr>
        <w:spacing w:before="120" w:after="0" w:line="240" w:lineRule="auto"/>
        <w:contextualSpacing/>
        <w:rPr>
          <w:b/>
          <w:bCs/>
          <w:color w:val="FF0000"/>
          <w:sz w:val="24"/>
          <w:szCs w:val="24"/>
          <w:lang w:val="cs-CZ"/>
        </w:rPr>
      </w:pPr>
    </w:p>
    <w:p w14:paraId="7B38ED41" w14:textId="51F2CC2D" w:rsidR="003050AA" w:rsidRDefault="003050AA" w:rsidP="003050AA">
      <w:pPr>
        <w:spacing w:before="120" w:after="0" w:line="240" w:lineRule="auto"/>
        <w:contextualSpacing/>
        <w:rPr>
          <w:b/>
          <w:bCs/>
          <w:color w:val="FF0000"/>
          <w:sz w:val="24"/>
          <w:szCs w:val="24"/>
          <w:lang w:val="cs-CZ"/>
        </w:rPr>
      </w:pPr>
    </w:p>
    <w:p w14:paraId="6A8FB409" w14:textId="04519907" w:rsidR="003050AA" w:rsidRPr="003050AA" w:rsidRDefault="003050AA" w:rsidP="003050AA">
      <w:pPr>
        <w:spacing w:before="120" w:after="0" w:line="240" w:lineRule="auto"/>
        <w:contextualSpacing/>
        <w:rPr>
          <w:b/>
          <w:bCs/>
          <w:color w:val="FF0000"/>
          <w:sz w:val="24"/>
          <w:szCs w:val="24"/>
          <w:lang w:val="cs-CZ"/>
        </w:rPr>
      </w:pPr>
    </w:p>
    <w:sectPr w:rsidR="003050AA" w:rsidRPr="003050AA" w:rsidSect="0091591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7185" w14:textId="77777777" w:rsidR="00EC26B0" w:rsidRDefault="00EC26B0" w:rsidP="001A05CE">
      <w:pPr>
        <w:spacing w:after="0" w:line="240" w:lineRule="auto"/>
      </w:pPr>
      <w:r>
        <w:separator/>
      </w:r>
    </w:p>
  </w:endnote>
  <w:endnote w:type="continuationSeparator" w:id="0">
    <w:p w14:paraId="39E4705F" w14:textId="77777777" w:rsidR="00EC26B0" w:rsidRDefault="00EC26B0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38F58359" w:rsidR="009023A4" w:rsidRDefault="009023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C8" w:rsidRPr="003534C8">
          <w:rPr>
            <w:noProof/>
            <w:lang w:val="cs-CZ"/>
          </w:rPr>
          <w:t>5</w:t>
        </w:r>
        <w:r>
          <w:fldChar w:fldCharType="end"/>
        </w:r>
      </w:p>
    </w:sdtContent>
  </w:sdt>
  <w:p w14:paraId="782655B0" w14:textId="77777777" w:rsidR="009023A4" w:rsidRDefault="00902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2CEC" w14:textId="47672BBA" w:rsidR="009023A4" w:rsidRPr="00E35290" w:rsidRDefault="004F7787" w:rsidP="00C14D41">
    <w:pPr>
      <w:pStyle w:val="Zpat"/>
      <w:jc w:val="center"/>
    </w:pPr>
    <w:proofErr w:type="spellStart"/>
    <w:r>
      <w:t>Připravila</w:t>
    </w:r>
    <w:proofErr w:type="spellEnd"/>
    <w:r>
      <w:t xml:space="preserve">: as. </w:t>
    </w:r>
    <w:r w:rsidR="00C14D41">
      <w:t>RNDr</w:t>
    </w:r>
    <w:r>
      <w:t xml:space="preserve">. </w:t>
    </w:r>
    <w:r w:rsidR="00C14D41">
      <w:t>Petra Mrózková</w:t>
    </w:r>
    <w:r>
      <w:rPr>
        <w:lang w:val="cs-CZ"/>
      </w:rPr>
      <w:t>, Ph.D.</w:t>
    </w:r>
  </w:p>
  <w:p w14:paraId="02112BC0" w14:textId="77777777" w:rsidR="009023A4" w:rsidRDefault="00902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7D8B" w14:textId="77777777" w:rsidR="00EC26B0" w:rsidRDefault="00EC26B0" w:rsidP="001A05CE">
      <w:pPr>
        <w:spacing w:after="0" w:line="240" w:lineRule="auto"/>
      </w:pPr>
      <w:r>
        <w:separator/>
      </w:r>
    </w:p>
  </w:footnote>
  <w:footnote w:type="continuationSeparator" w:id="0">
    <w:p w14:paraId="7F2BC666" w14:textId="77777777" w:rsidR="00EC26B0" w:rsidRDefault="00EC26B0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1727" w14:textId="0E7F4672" w:rsidR="009023A4" w:rsidRDefault="009023A4" w:rsidP="00A17AEB">
    <w:pPr>
      <w:pStyle w:val="Zhlav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047A3918" wp14:editId="5FECF50E">
          <wp:extent cx="3657600" cy="696853"/>
          <wp:effectExtent l="0" t="0" r="0" b="825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359" cy="7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E3BC3" w14:textId="5D19A3FD" w:rsidR="009023A4" w:rsidRPr="00501B00" w:rsidRDefault="009023A4" w:rsidP="00A17AEB">
    <w:pPr>
      <w:pStyle w:val="2LFPracovit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Ústav fyziologie 2. lékařské fakulty Univerzity Karlovy</w:t>
    </w:r>
  </w:p>
  <w:p w14:paraId="007786C7" w14:textId="77777777" w:rsidR="009023A4" w:rsidRPr="00501B00" w:rsidRDefault="009023A4" w:rsidP="00A17AEB">
    <w:pPr>
      <w:pStyle w:val="2LFPednosta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Přednosta: prof. MUDr. Přemysl Jiruška, Ph.D.</w:t>
    </w:r>
  </w:p>
  <w:p w14:paraId="18C05C1F" w14:textId="74BF99D3" w:rsidR="009023A4" w:rsidRDefault="009023A4" w:rsidP="009023A4">
    <w:pPr>
      <w:pStyle w:val="Zhlav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6D6"/>
    <w:multiLevelType w:val="hybridMultilevel"/>
    <w:tmpl w:val="6D5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D4B"/>
    <w:multiLevelType w:val="hybridMultilevel"/>
    <w:tmpl w:val="25102830"/>
    <w:lvl w:ilvl="0" w:tplc="AD5EA128">
      <w:start w:val="8"/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AB"/>
    <w:multiLevelType w:val="hybridMultilevel"/>
    <w:tmpl w:val="1A00D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4237"/>
    <w:multiLevelType w:val="hybridMultilevel"/>
    <w:tmpl w:val="4204EF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7BBA"/>
    <w:multiLevelType w:val="hybridMultilevel"/>
    <w:tmpl w:val="DADA5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3675"/>
    <w:multiLevelType w:val="hybridMultilevel"/>
    <w:tmpl w:val="C80291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4C01"/>
    <w:multiLevelType w:val="hybridMultilevel"/>
    <w:tmpl w:val="FD8C7F46"/>
    <w:lvl w:ilvl="0" w:tplc="F858F036">
      <w:start w:val="8"/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497F6470"/>
    <w:multiLevelType w:val="hybridMultilevel"/>
    <w:tmpl w:val="F1AC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478C"/>
    <w:multiLevelType w:val="hybridMultilevel"/>
    <w:tmpl w:val="D8280E8A"/>
    <w:lvl w:ilvl="0" w:tplc="101A001E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26A8"/>
    <w:multiLevelType w:val="hybridMultilevel"/>
    <w:tmpl w:val="5FF0E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107F1"/>
    <w:multiLevelType w:val="hybridMultilevel"/>
    <w:tmpl w:val="BC1E4BFE"/>
    <w:lvl w:ilvl="0" w:tplc="B01E10E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C644B"/>
    <w:multiLevelType w:val="hybridMultilevel"/>
    <w:tmpl w:val="D3E0B5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7"/>
  </w:num>
  <w:num w:numId="9">
    <w:abstractNumId w:val="20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6"/>
  </w:num>
  <w:num w:numId="16">
    <w:abstractNumId w:val="21"/>
  </w:num>
  <w:num w:numId="17">
    <w:abstractNumId w:val="18"/>
  </w:num>
  <w:num w:numId="18">
    <w:abstractNumId w:val="1"/>
  </w:num>
  <w:num w:numId="19">
    <w:abstractNumId w:val="16"/>
  </w:num>
  <w:num w:numId="20">
    <w:abstractNumId w:val="2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E"/>
    <w:rsid w:val="0000247E"/>
    <w:rsid w:val="000075E9"/>
    <w:rsid w:val="000107C4"/>
    <w:rsid w:val="00037C12"/>
    <w:rsid w:val="000832F5"/>
    <w:rsid w:val="00084B27"/>
    <w:rsid w:val="00097DB0"/>
    <w:rsid w:val="000B2DCE"/>
    <w:rsid w:val="00111A05"/>
    <w:rsid w:val="00151094"/>
    <w:rsid w:val="00166699"/>
    <w:rsid w:val="001A05CE"/>
    <w:rsid w:val="001A4C94"/>
    <w:rsid w:val="001E3045"/>
    <w:rsid w:val="001F4CCC"/>
    <w:rsid w:val="001F4D81"/>
    <w:rsid w:val="00200E42"/>
    <w:rsid w:val="002705D4"/>
    <w:rsid w:val="002755DE"/>
    <w:rsid w:val="0028439D"/>
    <w:rsid w:val="0029124F"/>
    <w:rsid w:val="002D72FB"/>
    <w:rsid w:val="002E3333"/>
    <w:rsid w:val="002F0143"/>
    <w:rsid w:val="002F4C4E"/>
    <w:rsid w:val="002F7567"/>
    <w:rsid w:val="003025DE"/>
    <w:rsid w:val="003050AA"/>
    <w:rsid w:val="003534C8"/>
    <w:rsid w:val="00365C60"/>
    <w:rsid w:val="00373A6F"/>
    <w:rsid w:val="00392755"/>
    <w:rsid w:val="00400F50"/>
    <w:rsid w:val="0040494A"/>
    <w:rsid w:val="004B6075"/>
    <w:rsid w:val="004E09F1"/>
    <w:rsid w:val="004F7787"/>
    <w:rsid w:val="00501B00"/>
    <w:rsid w:val="0053066F"/>
    <w:rsid w:val="00574063"/>
    <w:rsid w:val="005829C0"/>
    <w:rsid w:val="005A0388"/>
    <w:rsid w:val="005B6EA8"/>
    <w:rsid w:val="005D7E35"/>
    <w:rsid w:val="005E5641"/>
    <w:rsid w:val="00600200"/>
    <w:rsid w:val="00617112"/>
    <w:rsid w:val="0065144C"/>
    <w:rsid w:val="00670008"/>
    <w:rsid w:val="00670D8F"/>
    <w:rsid w:val="006A0497"/>
    <w:rsid w:val="006A4F1F"/>
    <w:rsid w:val="006A6E2D"/>
    <w:rsid w:val="006B1F6D"/>
    <w:rsid w:val="006D70DA"/>
    <w:rsid w:val="006F0B50"/>
    <w:rsid w:val="006F27CC"/>
    <w:rsid w:val="007C5DEC"/>
    <w:rsid w:val="007D5C2F"/>
    <w:rsid w:val="007E318C"/>
    <w:rsid w:val="008A3356"/>
    <w:rsid w:val="008B0BAD"/>
    <w:rsid w:val="008D7983"/>
    <w:rsid w:val="008E5C1E"/>
    <w:rsid w:val="009023A4"/>
    <w:rsid w:val="0091120E"/>
    <w:rsid w:val="00915912"/>
    <w:rsid w:val="00921CC6"/>
    <w:rsid w:val="009240F6"/>
    <w:rsid w:val="00937B45"/>
    <w:rsid w:val="0094212E"/>
    <w:rsid w:val="00945BB7"/>
    <w:rsid w:val="009518E4"/>
    <w:rsid w:val="0099117B"/>
    <w:rsid w:val="0099786F"/>
    <w:rsid w:val="00A17AEB"/>
    <w:rsid w:val="00A2757A"/>
    <w:rsid w:val="00A371B0"/>
    <w:rsid w:val="00A43DBE"/>
    <w:rsid w:val="00A75D58"/>
    <w:rsid w:val="00A96871"/>
    <w:rsid w:val="00A97C9A"/>
    <w:rsid w:val="00AA2A5E"/>
    <w:rsid w:val="00AC75B1"/>
    <w:rsid w:val="00B2607E"/>
    <w:rsid w:val="00B37E61"/>
    <w:rsid w:val="00B41763"/>
    <w:rsid w:val="00B43FDD"/>
    <w:rsid w:val="00B475DA"/>
    <w:rsid w:val="00BC6208"/>
    <w:rsid w:val="00BD6970"/>
    <w:rsid w:val="00C1394C"/>
    <w:rsid w:val="00C14D41"/>
    <w:rsid w:val="00CA152C"/>
    <w:rsid w:val="00CB67E0"/>
    <w:rsid w:val="00D13FA0"/>
    <w:rsid w:val="00D26ADA"/>
    <w:rsid w:val="00D432C7"/>
    <w:rsid w:val="00D53003"/>
    <w:rsid w:val="00D80266"/>
    <w:rsid w:val="00D80BB1"/>
    <w:rsid w:val="00DD200B"/>
    <w:rsid w:val="00DD2D9B"/>
    <w:rsid w:val="00DE129E"/>
    <w:rsid w:val="00E35290"/>
    <w:rsid w:val="00E70D41"/>
    <w:rsid w:val="00EA1FD2"/>
    <w:rsid w:val="00EA613D"/>
    <w:rsid w:val="00EC26B0"/>
    <w:rsid w:val="00EC469D"/>
    <w:rsid w:val="00F05DF6"/>
    <w:rsid w:val="00F36ACD"/>
    <w:rsid w:val="00FB0EBF"/>
    <w:rsid w:val="00FB4F6C"/>
    <w:rsid w:val="00FD55C5"/>
    <w:rsid w:val="00FF2B32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  <w15:chartTrackingRefBased/>
  <w15:docId w15:val="{85E1164A-9672-4F64-A6D1-D1B61DE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3003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A2A5E"/>
    <w:rPr>
      <w:color w:val="605E5C"/>
      <w:shd w:val="clear" w:color="auto" w:fill="E1DFDD"/>
    </w:rPr>
  </w:style>
  <w:style w:type="paragraph" w:customStyle="1" w:styleId="Standard">
    <w:name w:val="Standard"/>
    <w:rsid w:val="002F75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lGObeOtNVf4&amp;ab_channel=%C3%9Astavfyziologie-P%C5%99edn%C3%A1%C5%A1k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1GJM82KWjDQ&amp;ab_channel=%C3%9Astavfyziologie-P%C5%99edn%C3%A1%C5%A1k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04EC0CE1599489912BC3BB6A99D24" ma:contentTypeVersion="6" ma:contentTypeDescription="Vytvoří nový dokument" ma:contentTypeScope="" ma:versionID="b2915885a50804e391ef9e09aa777660">
  <xsd:schema xmlns:xsd="http://www.w3.org/2001/XMLSchema" xmlns:xs="http://www.w3.org/2001/XMLSchema" xmlns:p="http://schemas.microsoft.com/office/2006/metadata/properties" xmlns:ns2="a52a04cd-abfc-406f-bfff-83bfc995ebc5" targetNamespace="http://schemas.microsoft.com/office/2006/metadata/properties" ma:root="true" ma:fieldsID="b74a4a774ef6f97efa9fef429014b500" ns2:_="">
    <xsd:import namespace="a52a04cd-abfc-406f-bfff-83bfc995e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DC1D2-2310-484D-9E9E-4733DE1F2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E0B96-A09B-440D-BF1C-0E738232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46B67-C52E-4952-8648-8A693189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Šuchmanová</dc:creator>
  <cp:keywords/>
  <dc:description/>
  <cp:lastModifiedBy>Dell</cp:lastModifiedBy>
  <cp:revision>6</cp:revision>
  <cp:lastPrinted>2022-09-20T08:34:00Z</cp:lastPrinted>
  <dcterms:created xsi:type="dcterms:W3CDTF">2023-03-28T09:17:00Z</dcterms:created>
  <dcterms:modified xsi:type="dcterms:W3CDTF">2023-03-29T08:43:00Z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  <property fmtid="{D5CDD505-2E9C-101B-9397-08002B2CF9AE}" pid="3" name="GrammarlyDocumentId">
    <vt:lpwstr>f8779980fa25963fad7e357a0c2ffa492c8ce56e449f547491a05f2693fa3904</vt:lpwstr>
  </property>
</Properties>
</file>