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3BF6" w14:textId="5DE0FF65" w:rsidR="00681A09" w:rsidRPr="00681A09" w:rsidRDefault="00681A09" w:rsidP="00681A09">
      <w:pPr>
        <w:pStyle w:val="StandardWeb"/>
        <w:spacing w:before="0" w:beforeAutospacing="0"/>
        <w:rPr>
          <w:rFonts w:ascii="Cambria" w:hAnsi="Cambria" w:cs="Segoe UI"/>
          <w:color w:val="212529"/>
        </w:rPr>
      </w:pPr>
      <w:r w:rsidRPr="00681A09">
        <w:rPr>
          <w:rFonts w:ascii="Cambria" w:hAnsi="Cambria" w:cs="Segoe UI"/>
          <w:color w:val="212529"/>
        </w:rPr>
        <w:t xml:space="preserve">DIE STADT VON MORGEN (AUFGABE: DEIXIS) </w:t>
      </w:r>
    </w:p>
    <w:p w14:paraId="4972A630" w14:textId="65D45427" w:rsidR="00681A09" w:rsidRPr="00681A09" w:rsidRDefault="00681A09" w:rsidP="00681A09">
      <w:pPr>
        <w:pStyle w:val="StandardWeb"/>
        <w:spacing w:before="0" w:beforeAutospacing="0"/>
        <w:rPr>
          <w:rFonts w:ascii="Cambria" w:hAnsi="Cambria" w:cs="Segoe UI"/>
          <w:color w:val="212529"/>
        </w:rPr>
      </w:pPr>
      <w:r w:rsidRPr="00681A09">
        <w:rPr>
          <w:rFonts w:ascii="Cambria" w:hAnsi="Cambria" w:cs="Segoe UI"/>
          <w:color w:val="212529"/>
        </w:rPr>
        <w:t>Die </w:t>
      </w:r>
      <w:r w:rsidRPr="00681A09">
        <w:rPr>
          <w:rStyle w:val="Fett"/>
          <w:rFonts w:ascii="Cambria" w:hAnsi="Cambria" w:cs="Segoe UI"/>
          <w:color w:val="212529"/>
        </w:rPr>
        <w:t>Städte der Gründerzeit</w:t>
      </w:r>
      <w:r w:rsidRPr="00681A09">
        <w:rPr>
          <w:rFonts w:ascii="Cambria" w:hAnsi="Cambria" w:cs="Segoe UI"/>
          <w:color w:val="212529"/>
        </w:rPr>
        <w:t xml:space="preserve"> zeichneten sich durch Solidität und Ästhetik </w:t>
      </w:r>
      <w:proofErr w:type="gramStart"/>
      <w:r w:rsidRPr="00681A09">
        <w:rPr>
          <w:rFonts w:ascii="Cambria" w:hAnsi="Cambria" w:cs="Segoe UI"/>
          <w:color w:val="212529"/>
        </w:rPr>
        <w:t>aus.(</w:t>
      </w:r>
      <w:proofErr w:type="gramEnd"/>
      <w:r w:rsidRPr="00681A09">
        <w:rPr>
          <w:rFonts w:ascii="Cambria" w:hAnsi="Cambria" w:cs="Segoe UI"/>
          <w:color w:val="212529"/>
        </w:rPr>
        <w:t>1) </w:t>
      </w:r>
      <w:r w:rsidRPr="00681A09">
        <w:rPr>
          <w:rStyle w:val="Fett"/>
          <w:rFonts w:ascii="Cambria" w:hAnsi="Cambria" w:cs="Segoe UI"/>
          <w:color w:val="212529"/>
          <w:shd w:val="clear" w:color="auto" w:fill="FFCC00"/>
        </w:rPr>
        <w:t>Sie</w:t>
      </w:r>
      <w:r w:rsidRPr="00681A09">
        <w:rPr>
          <w:rFonts w:ascii="Cambria" w:hAnsi="Cambria" w:cs="Segoe UI"/>
          <w:color w:val="212529"/>
          <w:shd w:val="clear" w:color="auto" w:fill="FFCC00"/>
        </w:rPr>
        <w:t> </w:t>
      </w:r>
      <w:r w:rsidRPr="00681A09">
        <w:rPr>
          <w:rFonts w:ascii="Cambria" w:hAnsi="Cambria" w:cs="Segoe UI"/>
          <w:color w:val="212529"/>
        </w:rPr>
        <w:t>dienen oft als Vorbild für verdichtetes und ökologisch sinnvolles Bauen. (2) </w:t>
      </w:r>
      <w:r w:rsidRPr="00681A09">
        <w:rPr>
          <w:rStyle w:val="Fett"/>
          <w:rFonts w:ascii="Cambria" w:hAnsi="Cambria" w:cs="Segoe UI"/>
          <w:color w:val="212529"/>
          <w:shd w:val="clear" w:color="auto" w:fill="FFCC00"/>
        </w:rPr>
        <w:t>Ihre</w:t>
      </w:r>
      <w:r w:rsidRPr="00681A09">
        <w:rPr>
          <w:rFonts w:ascii="Cambria" w:hAnsi="Cambria" w:cs="Segoe UI"/>
          <w:color w:val="212529"/>
          <w:shd w:val="clear" w:color="auto" w:fill="FFCC00"/>
        </w:rPr>
        <w:t> </w:t>
      </w:r>
      <w:r w:rsidRPr="00681A09">
        <w:rPr>
          <w:rFonts w:ascii="Cambria" w:hAnsi="Cambria" w:cs="Segoe UI"/>
          <w:color w:val="212529"/>
        </w:rPr>
        <w:t xml:space="preserve">Bausubstanz aus dem 19. Jahrhundert trotzte Kriegen und zivilisatorischen Brüchen. In jüngerer Vergangenheit jedoch haben umfassende technokratische Eingriffe in die Stadtplanung zu zahlreichen Fehlentwicklungen </w:t>
      </w:r>
      <w:proofErr w:type="gramStart"/>
      <w:r w:rsidRPr="00681A09">
        <w:rPr>
          <w:rFonts w:ascii="Cambria" w:hAnsi="Cambria" w:cs="Segoe UI"/>
          <w:color w:val="212529"/>
        </w:rPr>
        <w:t>geführt.(</w:t>
      </w:r>
      <w:proofErr w:type="gramEnd"/>
      <w:r w:rsidRPr="00681A09">
        <w:rPr>
          <w:rFonts w:ascii="Cambria" w:hAnsi="Cambria" w:cs="Segoe UI"/>
          <w:color w:val="212529"/>
        </w:rPr>
        <w:t>3) </w:t>
      </w:r>
      <w:r w:rsidRPr="00681A09">
        <w:rPr>
          <w:rStyle w:val="Fett"/>
          <w:rFonts w:ascii="Cambria" w:hAnsi="Cambria" w:cs="Segoe UI"/>
          <w:color w:val="212529"/>
          <w:shd w:val="clear" w:color="auto" w:fill="FFCC00"/>
        </w:rPr>
        <w:t>Sie</w:t>
      </w:r>
      <w:r w:rsidRPr="00681A09">
        <w:rPr>
          <w:rFonts w:ascii="Cambria" w:hAnsi="Cambria" w:cs="Segoe UI"/>
          <w:color w:val="212529"/>
          <w:shd w:val="clear" w:color="auto" w:fill="FFCC00"/>
        </w:rPr>
        <w:t> </w:t>
      </w:r>
      <w:r w:rsidRPr="00681A09">
        <w:rPr>
          <w:rFonts w:ascii="Cambria" w:hAnsi="Cambria" w:cs="Segoe UI"/>
          <w:color w:val="212529"/>
        </w:rPr>
        <w:t>äußern sich unter anderem in einer übermäßigen Ausrichtung der Stadträume auf den Autoverkehr, in »aus dem Boden gestampften« Großsiedlungen ohne gewachsene Infrastruktur oder in Stadtrandzonen, die aus rein ökonomischem Blickwinkel gestaltet sind (Gewerbeparks). Die Stadtplanung muss Wege finden, (4) </w:t>
      </w:r>
      <w:r w:rsidRPr="00681A09">
        <w:rPr>
          <w:rStyle w:val="Fett"/>
          <w:rFonts w:ascii="Cambria" w:hAnsi="Cambria" w:cs="Segoe UI"/>
          <w:color w:val="212529"/>
          <w:shd w:val="clear" w:color="auto" w:fill="FFCC00"/>
        </w:rPr>
        <w:t>diese</w:t>
      </w:r>
      <w:r w:rsidRPr="00681A09">
        <w:rPr>
          <w:rFonts w:ascii="Cambria" w:hAnsi="Cambria" w:cs="Segoe UI"/>
          <w:color w:val="212529"/>
          <w:shd w:val="clear" w:color="auto" w:fill="FFCC00"/>
        </w:rPr>
        <w:t> </w:t>
      </w:r>
      <w:r w:rsidRPr="00681A09">
        <w:rPr>
          <w:rFonts w:ascii="Cambria" w:hAnsi="Cambria" w:cs="Segoe UI"/>
          <w:color w:val="212529"/>
        </w:rPr>
        <w:t>Wunden zu heilen.</w:t>
      </w:r>
    </w:p>
    <w:p w14:paraId="4E5E4CFD" w14:textId="77777777" w:rsidR="00681A09" w:rsidRPr="00681A09" w:rsidRDefault="00681A09" w:rsidP="00681A09">
      <w:pPr>
        <w:pStyle w:val="StandardWeb"/>
        <w:spacing w:before="0" w:beforeAutospacing="0"/>
        <w:rPr>
          <w:rFonts w:ascii="Cambria" w:hAnsi="Cambria" w:cs="Segoe UI"/>
          <w:color w:val="212529"/>
        </w:rPr>
      </w:pPr>
      <w:r w:rsidRPr="00681A09">
        <w:rPr>
          <w:rFonts w:ascii="Cambria" w:hAnsi="Cambria" w:cs="Segoe UI"/>
          <w:color w:val="212529"/>
        </w:rPr>
        <w:t>Zudem gibt es widerstreitende Tendenzen in den Formen des Zusammenlebens. Soziales Verhalten und Interaktionen im öffentlichen Raum verlagern sich zunehmend in die digitalen sozialen Medien hinein, und neue »smarte« Technologien beeinflussen immer stärker die Wohnbedürfnisse und das Wohnverhalten, indem (5) </w:t>
      </w:r>
      <w:r w:rsidRPr="00681A09">
        <w:rPr>
          <w:rStyle w:val="Fett"/>
          <w:rFonts w:ascii="Cambria" w:hAnsi="Cambria" w:cs="Segoe UI"/>
          <w:color w:val="212529"/>
          <w:shd w:val="clear" w:color="auto" w:fill="FFCC00"/>
        </w:rPr>
        <w:t>sie</w:t>
      </w:r>
      <w:r w:rsidRPr="00681A09">
        <w:rPr>
          <w:rFonts w:ascii="Cambria" w:hAnsi="Cambria" w:cs="Segoe UI"/>
          <w:color w:val="212529"/>
          <w:shd w:val="clear" w:color="auto" w:fill="FFCC00"/>
        </w:rPr>
        <w:t> </w:t>
      </w:r>
      <w:r w:rsidRPr="00681A09">
        <w:rPr>
          <w:rFonts w:ascii="Cambria" w:hAnsi="Cambria" w:cs="Segoe UI"/>
          <w:color w:val="212529"/>
        </w:rPr>
        <w:t>ein Sozialleben ohne räumliche Nähe zu Freunden zu ermöglichen scheinen.(6) </w:t>
      </w:r>
      <w:r w:rsidRPr="00681A09">
        <w:rPr>
          <w:rStyle w:val="Fett"/>
          <w:rFonts w:ascii="Cambria" w:hAnsi="Cambria" w:cs="Segoe UI"/>
          <w:color w:val="212529"/>
          <w:shd w:val="clear" w:color="auto" w:fill="FFCC00"/>
        </w:rPr>
        <w:t>Dem</w:t>
      </w:r>
      <w:r w:rsidRPr="00681A09">
        <w:rPr>
          <w:rFonts w:ascii="Cambria" w:hAnsi="Cambria" w:cs="Segoe UI"/>
          <w:color w:val="212529"/>
          <w:shd w:val="clear" w:color="auto" w:fill="FFCC00"/>
        </w:rPr>
        <w:t> </w:t>
      </w:r>
      <w:r w:rsidRPr="00681A09">
        <w:rPr>
          <w:rFonts w:ascii="Cambria" w:hAnsi="Cambria" w:cs="Segoe UI"/>
          <w:color w:val="212529"/>
        </w:rPr>
        <w:t>entgegen steht ein neues Wirgefühl,(7) </w:t>
      </w:r>
      <w:r w:rsidRPr="00681A09">
        <w:rPr>
          <w:rStyle w:val="Fett"/>
          <w:rFonts w:ascii="Cambria" w:hAnsi="Cambria" w:cs="Segoe UI"/>
          <w:color w:val="212529"/>
          <w:shd w:val="clear" w:color="auto" w:fill="FFCC00"/>
        </w:rPr>
        <w:t>das</w:t>
      </w:r>
      <w:r w:rsidRPr="00681A09">
        <w:rPr>
          <w:rFonts w:ascii="Cambria" w:hAnsi="Cambria" w:cs="Segoe UI"/>
          <w:color w:val="212529"/>
          <w:shd w:val="clear" w:color="auto" w:fill="FFCC00"/>
        </w:rPr>
        <w:t> </w:t>
      </w:r>
      <w:r w:rsidRPr="00681A09">
        <w:rPr>
          <w:rFonts w:ascii="Cambria" w:hAnsi="Cambria" w:cs="Segoe UI"/>
          <w:color w:val="212529"/>
        </w:rPr>
        <w:t xml:space="preserve">in inselähnlichen städtischen Lebensgemeinschaften erwächst, vergleichbar den Berliner Kiezen oder den Wiener </w:t>
      </w:r>
      <w:proofErr w:type="spellStart"/>
      <w:r w:rsidRPr="00681A09">
        <w:rPr>
          <w:rFonts w:ascii="Cambria" w:hAnsi="Cambria" w:cs="Segoe UI"/>
          <w:color w:val="212529"/>
        </w:rPr>
        <w:t>Grätzln</w:t>
      </w:r>
      <w:proofErr w:type="spellEnd"/>
      <w:r w:rsidRPr="00681A09">
        <w:rPr>
          <w:rFonts w:ascii="Cambria" w:hAnsi="Cambria" w:cs="Segoe UI"/>
          <w:color w:val="212529"/>
        </w:rPr>
        <w:t xml:space="preserve"> – eine Art von städtischen Dorfgemeinschaften.</w:t>
      </w:r>
    </w:p>
    <w:p w14:paraId="12BC5FAD" w14:textId="77777777" w:rsidR="00681A09" w:rsidRPr="00681A09" w:rsidRDefault="00681A09" w:rsidP="00681A09">
      <w:pPr>
        <w:pStyle w:val="StandardWeb"/>
        <w:spacing w:before="0" w:beforeAutospacing="0"/>
        <w:rPr>
          <w:rFonts w:ascii="Cambria" w:hAnsi="Cambria" w:cs="Segoe UI"/>
          <w:color w:val="212529"/>
        </w:rPr>
      </w:pPr>
      <w:r w:rsidRPr="00681A09">
        <w:rPr>
          <w:rFonts w:ascii="Cambria" w:hAnsi="Cambria" w:cs="Segoe UI"/>
          <w:color w:val="212529"/>
        </w:rPr>
        <w:t>Die Stadtentwicklung bewegt sich (8) </w:t>
      </w:r>
      <w:r w:rsidRPr="00681A09">
        <w:rPr>
          <w:rStyle w:val="Fett"/>
          <w:rFonts w:ascii="Cambria" w:hAnsi="Cambria" w:cs="Segoe UI"/>
          <w:color w:val="212529"/>
          <w:shd w:val="clear" w:color="auto" w:fill="FFCC00"/>
        </w:rPr>
        <w:t>daher</w:t>
      </w:r>
      <w:r w:rsidRPr="00681A09">
        <w:rPr>
          <w:rFonts w:ascii="Cambria" w:hAnsi="Cambria" w:cs="Segoe UI"/>
          <w:color w:val="212529"/>
          <w:shd w:val="clear" w:color="auto" w:fill="FFCC00"/>
        </w:rPr>
        <w:t> </w:t>
      </w:r>
      <w:r w:rsidRPr="00681A09">
        <w:rPr>
          <w:rFonts w:ascii="Cambria" w:hAnsi="Cambria" w:cs="Segoe UI"/>
          <w:color w:val="212529"/>
        </w:rPr>
        <w:t>in einem schwierigen Spannungsfeld zwischen ökologisch notwendigem Siedlungsumbau und unvorhersehbaren sozialen Veränderungen. Behördliche Planer und Unternehmer verfolgen groß angelegte »Top-down«-Konzepte, um die Aufgaben der Zukunft zu lösen. (9) </w:t>
      </w:r>
      <w:r w:rsidRPr="00681A09">
        <w:rPr>
          <w:rStyle w:val="Fett"/>
          <w:rFonts w:ascii="Cambria" w:hAnsi="Cambria" w:cs="Segoe UI"/>
          <w:color w:val="212529"/>
          <w:shd w:val="clear" w:color="auto" w:fill="FFCC00"/>
        </w:rPr>
        <w:t>Dazu</w:t>
      </w:r>
      <w:r w:rsidRPr="00681A09">
        <w:rPr>
          <w:rFonts w:ascii="Cambria" w:hAnsi="Cambria" w:cs="Segoe UI"/>
          <w:color w:val="212529"/>
          <w:shd w:val="clear" w:color="auto" w:fill="FFCC00"/>
        </w:rPr>
        <w:t> </w:t>
      </w:r>
      <w:r w:rsidRPr="00681A09">
        <w:rPr>
          <w:rFonts w:ascii="Cambria" w:hAnsi="Cambria" w:cs="Segoe UI"/>
          <w:color w:val="212529"/>
        </w:rPr>
        <w:t>gehören Umbaumaßnahmen und intelligente Gebäudesteuerungen, um den Energieverbrauch zu senken, aber auch das Bebauen bisher brach liegender Flächen und ungenutzter Baulücken. (10) </w:t>
      </w:r>
      <w:r w:rsidRPr="00681A09">
        <w:rPr>
          <w:rStyle w:val="Fett"/>
          <w:rFonts w:ascii="Cambria" w:hAnsi="Cambria" w:cs="Segoe UI"/>
          <w:color w:val="212529"/>
          <w:shd w:val="clear" w:color="auto" w:fill="FFCC00"/>
        </w:rPr>
        <w:t>Solche</w:t>
      </w:r>
      <w:r w:rsidRPr="00681A09">
        <w:rPr>
          <w:rFonts w:ascii="Cambria" w:hAnsi="Cambria" w:cs="Segoe UI"/>
          <w:color w:val="212529"/>
          <w:shd w:val="clear" w:color="auto" w:fill="FFCC00"/>
        </w:rPr>
        <w:t> </w:t>
      </w:r>
      <w:r w:rsidRPr="00681A09">
        <w:rPr>
          <w:rFonts w:ascii="Cambria" w:hAnsi="Cambria" w:cs="Segoe UI"/>
          <w:color w:val="212529"/>
        </w:rPr>
        <w:t>Maßnahmen schränken jedoch die Nutzungsmöglichkeiten der Gebäude und des öffentlichen Raums ein und verkleinern den Spielraum des Soziallebens. Sie werden (11) </w:t>
      </w:r>
      <w:r w:rsidRPr="00681A09">
        <w:rPr>
          <w:rStyle w:val="Fett"/>
          <w:rFonts w:ascii="Cambria" w:hAnsi="Cambria" w:cs="Segoe UI"/>
          <w:color w:val="212529"/>
          <w:shd w:val="clear" w:color="auto" w:fill="FFCC00"/>
        </w:rPr>
        <w:t>daher</w:t>
      </w:r>
      <w:r w:rsidRPr="00681A09">
        <w:rPr>
          <w:rFonts w:ascii="Cambria" w:hAnsi="Cambria" w:cs="Segoe UI"/>
          <w:color w:val="212529"/>
          <w:shd w:val="clear" w:color="auto" w:fill="FFCC00"/>
        </w:rPr>
        <w:t> </w:t>
      </w:r>
      <w:r w:rsidRPr="00681A09">
        <w:rPr>
          <w:rFonts w:ascii="Cambria" w:hAnsi="Cambria" w:cs="Segoe UI"/>
          <w:color w:val="212529"/>
        </w:rPr>
        <w:t>zunehmend auf den Widerstand lokaler Initiativen stoßen.</w:t>
      </w:r>
    </w:p>
    <w:p w14:paraId="5FAF3A8D" w14:textId="77777777" w:rsidR="00681A09" w:rsidRPr="00681A09" w:rsidRDefault="00681A09" w:rsidP="00681A09">
      <w:pPr>
        <w:pStyle w:val="StandardWeb"/>
        <w:spacing w:before="0" w:beforeAutospacing="0"/>
        <w:rPr>
          <w:rFonts w:ascii="Cambria" w:hAnsi="Cambria" w:cs="Segoe UI"/>
          <w:color w:val="212529"/>
        </w:rPr>
      </w:pPr>
      <w:r w:rsidRPr="00681A09">
        <w:rPr>
          <w:rFonts w:ascii="Cambria" w:hAnsi="Cambria" w:cs="Segoe UI"/>
          <w:color w:val="212529"/>
        </w:rPr>
        <w:t>Es ist (12) </w:t>
      </w:r>
      <w:r w:rsidRPr="00681A09">
        <w:rPr>
          <w:rStyle w:val="Fett"/>
          <w:rFonts w:ascii="Cambria" w:hAnsi="Cambria" w:cs="Segoe UI"/>
          <w:color w:val="212529"/>
          <w:shd w:val="clear" w:color="auto" w:fill="FFCC00"/>
        </w:rPr>
        <w:t>deshalb</w:t>
      </w:r>
      <w:r w:rsidRPr="00681A09">
        <w:rPr>
          <w:rFonts w:ascii="Cambria" w:hAnsi="Cambria" w:cs="Segoe UI"/>
          <w:color w:val="212529"/>
          <w:shd w:val="clear" w:color="auto" w:fill="FFCC00"/>
        </w:rPr>
        <w:t> </w:t>
      </w:r>
      <w:r w:rsidRPr="00681A09">
        <w:rPr>
          <w:rFonts w:ascii="Cambria" w:hAnsi="Cambria" w:cs="Segoe UI"/>
          <w:color w:val="212529"/>
        </w:rPr>
        <w:t>zu erwarten, dass sich Bürger vermehrt Freiflächen aneignen – etwa um Parkplätze, Bäume oder Verkehrsflächen herum –, um (13) </w:t>
      </w:r>
      <w:r w:rsidRPr="00681A09">
        <w:rPr>
          <w:rStyle w:val="Fett"/>
          <w:rFonts w:ascii="Cambria" w:hAnsi="Cambria" w:cs="Segoe UI"/>
          <w:color w:val="212529"/>
          <w:shd w:val="clear" w:color="auto" w:fill="FFCC00"/>
        </w:rPr>
        <w:t>dort</w:t>
      </w:r>
      <w:r w:rsidRPr="00681A09">
        <w:rPr>
          <w:rFonts w:ascii="Cambria" w:hAnsi="Cambria" w:cs="Segoe UI"/>
          <w:color w:val="212529"/>
          <w:shd w:val="clear" w:color="auto" w:fill="FFCC00"/>
        </w:rPr>
        <w:t> </w:t>
      </w:r>
      <w:r w:rsidRPr="00681A09">
        <w:rPr>
          <w:rFonts w:ascii="Cambria" w:hAnsi="Cambria" w:cs="Segoe UI"/>
          <w:color w:val="212529"/>
        </w:rPr>
        <w:t>beispielsweise eigene Bepflanzungen durchzuführen. (14) </w:t>
      </w:r>
      <w:r w:rsidRPr="00681A09">
        <w:rPr>
          <w:rStyle w:val="Fett"/>
          <w:rFonts w:ascii="Cambria" w:hAnsi="Cambria" w:cs="Segoe UI"/>
          <w:color w:val="212529"/>
          <w:shd w:val="clear" w:color="auto" w:fill="FFCC00"/>
        </w:rPr>
        <w:t>Dieses</w:t>
      </w:r>
      <w:r w:rsidRPr="00681A09">
        <w:rPr>
          <w:rFonts w:ascii="Cambria" w:hAnsi="Cambria" w:cs="Segoe UI"/>
          <w:color w:val="212529"/>
          <w:shd w:val="clear" w:color="auto" w:fill="FFCC00"/>
        </w:rPr>
        <w:t> </w:t>
      </w:r>
      <w:r w:rsidRPr="00681A09">
        <w:rPr>
          <w:rFonts w:ascii="Cambria" w:hAnsi="Cambria" w:cs="Segoe UI"/>
          <w:color w:val="212529"/>
        </w:rPr>
        <w:t xml:space="preserve">»Urban </w:t>
      </w:r>
      <w:proofErr w:type="spellStart"/>
      <w:r w:rsidRPr="00681A09">
        <w:rPr>
          <w:rFonts w:ascii="Cambria" w:hAnsi="Cambria" w:cs="Segoe UI"/>
          <w:color w:val="212529"/>
        </w:rPr>
        <w:t>Gardening</w:t>
      </w:r>
      <w:proofErr w:type="spellEnd"/>
      <w:r w:rsidRPr="00681A09">
        <w:rPr>
          <w:rFonts w:ascii="Cambria" w:hAnsi="Cambria" w:cs="Segoe UI"/>
          <w:color w:val="212529"/>
        </w:rPr>
        <w:t>« genannte Phänomen gehört zur »Stadtentwicklung von unten«: dem Bemühen der Anwohner, urbane Freiräume eigenmächtig zu erhalten oder zurückzuerobern. Stadtplaner müssen deshalb künftig verstärkt Position beziehen zwischen den Interessen von Bürgern einerseits und Behörden wie Unternehmen andererseits. Sie sollten (15) </w:t>
      </w:r>
      <w:r w:rsidRPr="00681A09">
        <w:rPr>
          <w:rStyle w:val="Fett"/>
          <w:rFonts w:ascii="Cambria" w:hAnsi="Cambria" w:cs="Segoe UI"/>
          <w:color w:val="212529"/>
          <w:shd w:val="clear" w:color="auto" w:fill="FFCC00"/>
        </w:rPr>
        <w:t>dafür</w:t>
      </w:r>
      <w:r w:rsidRPr="00681A09">
        <w:rPr>
          <w:rFonts w:ascii="Cambria" w:hAnsi="Cambria" w:cs="Segoe UI"/>
          <w:color w:val="212529"/>
          <w:shd w:val="clear" w:color="auto" w:fill="FFCC00"/>
        </w:rPr>
        <w:t> </w:t>
      </w:r>
      <w:r w:rsidRPr="00681A09">
        <w:rPr>
          <w:rFonts w:ascii="Cambria" w:hAnsi="Cambria" w:cs="Segoe UI"/>
          <w:color w:val="212529"/>
        </w:rPr>
        <w:t>sorgen, dass sich Initiativen von Anwohnern entfalten können, um soziale Kreativität und Innovation jenseits technisch-rationaler Lösungen zu ermöglichen und (16) </w:t>
      </w:r>
      <w:r w:rsidRPr="00681A09">
        <w:rPr>
          <w:rStyle w:val="Fett"/>
          <w:rFonts w:ascii="Cambria" w:hAnsi="Cambria" w:cs="Segoe UI"/>
          <w:color w:val="212529"/>
          <w:shd w:val="clear" w:color="auto" w:fill="FFCC00"/>
        </w:rPr>
        <w:t>so</w:t>
      </w:r>
      <w:r w:rsidRPr="00681A09">
        <w:rPr>
          <w:rFonts w:ascii="Cambria" w:hAnsi="Cambria" w:cs="Segoe UI"/>
          <w:color w:val="212529"/>
          <w:shd w:val="clear" w:color="auto" w:fill="FFCC00"/>
        </w:rPr>
        <w:t> </w:t>
      </w:r>
      <w:r w:rsidRPr="00681A09">
        <w:rPr>
          <w:rFonts w:ascii="Cambria" w:hAnsi="Cambria" w:cs="Segoe UI"/>
          <w:color w:val="212529"/>
        </w:rPr>
        <w:t>das Zusammenleben zu bereichern.</w:t>
      </w:r>
    </w:p>
    <w:p w14:paraId="606610BB" w14:textId="77777777" w:rsidR="00681A09" w:rsidRPr="00681A09" w:rsidRDefault="00681A09" w:rsidP="00681A09">
      <w:pPr>
        <w:pStyle w:val="StandardWeb"/>
        <w:spacing w:before="0" w:beforeAutospacing="0"/>
        <w:rPr>
          <w:rFonts w:ascii="Cambria" w:hAnsi="Cambria" w:cs="Segoe UI"/>
          <w:color w:val="212529"/>
        </w:rPr>
      </w:pPr>
      <w:r w:rsidRPr="00681A09">
        <w:rPr>
          <w:rFonts w:ascii="Cambria" w:hAnsi="Cambria" w:cs="Segoe UI"/>
          <w:color w:val="212529"/>
        </w:rPr>
        <w:t>Städte der Zukunft sind zudem geprägt von sich rasant ändernden Arbeitswelten. Der Wandel hin zur Dienstleistungsgesellschaft, die Globalisierung und technische Neuerungen bringen Arbeitsformen hervor, (17) </w:t>
      </w:r>
      <w:r w:rsidRPr="00681A09">
        <w:rPr>
          <w:rStyle w:val="Fett"/>
          <w:rFonts w:ascii="Cambria" w:hAnsi="Cambria" w:cs="Segoe UI"/>
          <w:color w:val="212529"/>
          <w:shd w:val="clear" w:color="auto" w:fill="FFCC00"/>
        </w:rPr>
        <w:t>die</w:t>
      </w:r>
      <w:r w:rsidRPr="00681A09">
        <w:rPr>
          <w:rFonts w:ascii="Cambria" w:hAnsi="Cambria" w:cs="Segoe UI"/>
          <w:color w:val="212529"/>
          <w:shd w:val="clear" w:color="auto" w:fill="FFCC00"/>
        </w:rPr>
        <w:t> </w:t>
      </w:r>
      <w:r w:rsidRPr="00681A09">
        <w:rPr>
          <w:rFonts w:ascii="Cambria" w:hAnsi="Cambria" w:cs="Segoe UI"/>
          <w:color w:val="212529"/>
        </w:rPr>
        <w:t>vermehrt »weiche« Fähigkeiten (Soft Skills) wie Flexibilität, Team- und Kommunikationsfähigkeit erfordern. (18)  </w:t>
      </w:r>
      <w:r w:rsidRPr="00681A09">
        <w:rPr>
          <w:rStyle w:val="Fett"/>
          <w:rFonts w:ascii="Cambria" w:hAnsi="Cambria" w:cs="Segoe UI"/>
          <w:color w:val="212529"/>
          <w:shd w:val="clear" w:color="auto" w:fill="FFCC00"/>
        </w:rPr>
        <w:t>Dies</w:t>
      </w:r>
      <w:r w:rsidRPr="00681A09">
        <w:rPr>
          <w:rFonts w:ascii="Cambria" w:hAnsi="Cambria" w:cs="Segoe UI"/>
          <w:color w:val="212529"/>
          <w:shd w:val="clear" w:color="auto" w:fill="FFCC00"/>
        </w:rPr>
        <w:t> </w:t>
      </w:r>
      <w:r w:rsidRPr="00681A09">
        <w:rPr>
          <w:rFonts w:ascii="Cambria" w:hAnsi="Cambria" w:cs="Segoe UI"/>
          <w:color w:val="212529"/>
        </w:rPr>
        <w:t>wirkt sich auch auf die Arbeitsorte aus. Traditionelle Gewerbe- und Industriebetriebe werden an Bedeutung verlieren, im Gegensatz zu kleinen Dienstleistungs- und Kreativunternehmen, die sich in Wohnquartieren mit Einkaufsmöglichkeiten und sozialen Treffpunkten ansiedeln. Auch ist zu erwarten, dass kleinere Produktionsbetriebe in die Städte zurückkehren, ermöglicht durch neue emissions- und lärmarme Arbeitsverfahren. (19) </w:t>
      </w:r>
      <w:r w:rsidRPr="00681A09">
        <w:rPr>
          <w:rStyle w:val="Fett"/>
          <w:rFonts w:ascii="Cambria" w:hAnsi="Cambria" w:cs="Segoe UI"/>
          <w:color w:val="212529"/>
          <w:shd w:val="clear" w:color="auto" w:fill="FFCC00"/>
        </w:rPr>
        <w:t>Beides</w:t>
      </w:r>
      <w:r w:rsidRPr="00681A09">
        <w:rPr>
          <w:rFonts w:ascii="Cambria" w:hAnsi="Cambria" w:cs="Segoe UI"/>
          <w:color w:val="212529"/>
          <w:shd w:val="clear" w:color="auto" w:fill="FFCC00"/>
        </w:rPr>
        <w:t> </w:t>
      </w:r>
      <w:r w:rsidRPr="00681A09">
        <w:rPr>
          <w:rFonts w:ascii="Cambria" w:hAnsi="Cambria" w:cs="Segoe UI"/>
          <w:color w:val="212529"/>
        </w:rPr>
        <w:t>führt zu kürzeren Arbeits- und Transportwegen. (20) </w:t>
      </w:r>
      <w:r w:rsidRPr="00681A09">
        <w:rPr>
          <w:rStyle w:val="Fett"/>
          <w:rFonts w:ascii="Cambria" w:hAnsi="Cambria" w:cs="Segoe UI"/>
          <w:color w:val="212529"/>
          <w:shd w:val="clear" w:color="auto" w:fill="FFCC00"/>
        </w:rPr>
        <w:t>Somit</w:t>
      </w:r>
      <w:r w:rsidRPr="00681A09">
        <w:rPr>
          <w:rFonts w:ascii="Cambria" w:hAnsi="Cambria" w:cs="Segoe UI"/>
          <w:color w:val="212529"/>
          <w:shd w:val="clear" w:color="auto" w:fill="FFCC00"/>
        </w:rPr>
        <w:t> </w:t>
      </w:r>
      <w:r w:rsidRPr="00681A09">
        <w:rPr>
          <w:rFonts w:ascii="Cambria" w:hAnsi="Cambria" w:cs="Segoe UI"/>
          <w:color w:val="212529"/>
        </w:rPr>
        <w:t>überlagern sich Arbeit, Wohnen und Freizeit stärker als bisher, (21) </w:t>
      </w:r>
      <w:r w:rsidRPr="00681A09">
        <w:rPr>
          <w:rStyle w:val="Fett"/>
          <w:rFonts w:ascii="Cambria" w:hAnsi="Cambria" w:cs="Segoe UI"/>
          <w:color w:val="212529"/>
          <w:shd w:val="clear" w:color="auto" w:fill="FFCC00"/>
        </w:rPr>
        <w:t>was</w:t>
      </w:r>
      <w:r w:rsidRPr="00681A09">
        <w:rPr>
          <w:rFonts w:ascii="Cambria" w:hAnsi="Cambria" w:cs="Segoe UI"/>
          <w:color w:val="212529"/>
          <w:shd w:val="clear" w:color="auto" w:fill="FFCC00"/>
        </w:rPr>
        <w:t> </w:t>
      </w:r>
      <w:r w:rsidRPr="00681A09">
        <w:rPr>
          <w:rFonts w:ascii="Cambria" w:hAnsi="Cambria" w:cs="Segoe UI"/>
          <w:color w:val="212529"/>
        </w:rPr>
        <w:t>vernetzte Wohn- und Arbeitsgemeinschaften hervorbringt. In den Städten der Zukunft wird es ein Nebeneinander geben von dorfähnlicher Beschaulichkeit und global agierenden Unternehmen.</w:t>
      </w:r>
    </w:p>
    <w:p w14:paraId="3CACE8B7" w14:textId="4E2EB335" w:rsidR="00E2736A" w:rsidRPr="00681A09" w:rsidRDefault="00E2736A">
      <w:pPr>
        <w:rPr>
          <w:rFonts w:ascii="Cambria" w:hAnsi="Cambria"/>
          <w:sz w:val="24"/>
          <w:szCs w:val="24"/>
        </w:rPr>
      </w:pPr>
    </w:p>
    <w:sectPr w:rsidR="00E2736A" w:rsidRPr="00681A09" w:rsidSect="00681A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09"/>
    <w:rsid w:val="002D20B2"/>
    <w:rsid w:val="00331798"/>
    <w:rsid w:val="00681A09"/>
    <w:rsid w:val="00E273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AA29"/>
  <w15:chartTrackingRefBased/>
  <w15:docId w15:val="{3B780721-846D-4757-9B6A-0FBB2FCE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81A09"/>
    <w:rPr>
      <w:b/>
      <w:bCs/>
    </w:rPr>
  </w:style>
  <w:style w:type="paragraph" w:styleId="StandardWeb">
    <w:name w:val="Normal (Web)"/>
    <w:basedOn w:val="Standard"/>
    <w:uiPriority w:val="99"/>
    <w:semiHidden/>
    <w:unhideWhenUsed/>
    <w:rsid w:val="00681A0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4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3369</Characters>
  <Application>Microsoft Office Word</Application>
  <DocSecurity>0</DocSecurity>
  <Lines>28</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Tschek, Klára</dc:creator>
  <cp:keywords/>
  <dc:description/>
  <cp:lastModifiedBy>Tschek, Klára</cp:lastModifiedBy>
  <cp:revision>1</cp:revision>
  <cp:lastPrinted>2022-11-20T13:43:00Z</cp:lastPrinted>
  <dcterms:created xsi:type="dcterms:W3CDTF">2022-11-20T13:39:00Z</dcterms:created>
  <dcterms:modified xsi:type="dcterms:W3CDTF">2022-11-20T13:50:00Z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2bd2040c-f501-4f96-944a-8ed24856223e</vt:lpwstr>
  </property>
</Properties>
</file>