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5B1" w14:textId="7F19248F" w:rsidR="00B7020C" w:rsidRDefault="00B7020C" w:rsidP="00B7020C">
      <w:pPr>
        <w:jc w:val="both"/>
        <w:rPr>
          <w:b/>
          <w:bCs/>
          <w:sz w:val="24"/>
          <w:szCs w:val="24"/>
        </w:rPr>
      </w:pPr>
      <w:r>
        <w:rPr>
          <w:b/>
          <w:bCs/>
          <w:sz w:val="24"/>
          <w:szCs w:val="24"/>
        </w:rPr>
        <w:t>Rudimentum noviciorum</w:t>
      </w:r>
    </w:p>
    <w:p w14:paraId="471A9C6F" w14:textId="77777777" w:rsidR="00B7020C" w:rsidRDefault="00B7020C" w:rsidP="00B7020C">
      <w:r w:rsidRPr="00E65547">
        <w:t>https://geschichtsquellen.de/werk/4249</w:t>
      </w:r>
    </w:p>
    <w:p w14:paraId="029C73FF" w14:textId="3F3C4F3E" w:rsidR="00B7020C" w:rsidRDefault="00B7020C" w:rsidP="00B7020C">
      <w:pPr>
        <w:rPr>
          <w:rFonts w:ascii="Arial" w:hAnsi="Arial" w:cs="Arial"/>
          <w:color w:val="000000"/>
          <w:sz w:val="24"/>
          <w:szCs w:val="24"/>
          <w:shd w:val="clear" w:color="auto" w:fill="FFFFFF"/>
        </w:rPr>
      </w:pPr>
      <w:r w:rsidRPr="00E65547">
        <w:rPr>
          <w:rFonts w:ascii="Arial" w:hAnsi="Arial" w:cs="Arial"/>
          <w:color w:val="000000"/>
          <w:sz w:val="24"/>
          <w:szCs w:val="24"/>
          <w:shd w:val="clear" w:color="auto" w:fill="FFFFFF"/>
        </w:rPr>
        <w:t>Anonym überlieferte Weltchronik von der Erschaffung der Welt bis 1473, gegliedert nach den sechs Weltaltern, gedacht als Einführung für Anfänger in das Thema (daher der Titel). Das Werk ist mit über 150 Holzschnitten ausgestattet, darunter synoptische Herrschertabellen zum Alten Testament, die erste gedruckte Weltkarte des Mittelalters, eine Karte von </w:t>
      </w:r>
      <w:hyperlink r:id="rId4" w:history="1">
        <w:r w:rsidRPr="00E65547">
          <w:rPr>
            <w:rStyle w:val="Hypertextovodkaz"/>
            <w:rFonts w:ascii="Arial" w:hAnsi="Arial" w:cs="Arial"/>
            <w:sz w:val="24"/>
            <w:szCs w:val="24"/>
            <w:bdr w:val="none" w:sz="0" w:space="0" w:color="auto" w:frame="1"/>
            <w:shd w:val="clear" w:color="auto" w:fill="FFFFFF"/>
          </w:rPr>
          <w:t>Palästina</w:t>
        </w:r>
      </w:hyperlink>
      <w:r w:rsidRPr="00E65547">
        <w:rPr>
          <w:rFonts w:ascii="Arial" w:hAnsi="Arial" w:cs="Arial"/>
          <w:color w:val="000000"/>
          <w:sz w:val="24"/>
          <w:szCs w:val="24"/>
          <w:shd w:val="clear" w:color="auto" w:fill="FFFFFF"/>
        </w:rPr>
        <w:t> und als Besonderheit Porträts von Philosophen und Dichtern. Eingeschlossen sind eine Länderbeschreibung nach De proprietatibus rerum des </w:t>
      </w:r>
      <w:hyperlink r:id="rId5" w:history="1">
        <w:r w:rsidRPr="00E65547">
          <w:rPr>
            <w:rStyle w:val="Hypertextovodkaz"/>
            <w:rFonts w:ascii="Arial" w:hAnsi="Arial" w:cs="Arial"/>
            <w:sz w:val="24"/>
            <w:szCs w:val="24"/>
            <w:bdr w:val="none" w:sz="0" w:space="0" w:color="auto" w:frame="1"/>
            <w:shd w:val="clear" w:color="auto" w:fill="FFFFFF"/>
          </w:rPr>
          <w:t>Bartholomaeus Anglicus</w:t>
        </w:r>
      </w:hyperlink>
      <w:r w:rsidRPr="00E65547">
        <w:rPr>
          <w:rFonts w:ascii="Arial" w:hAnsi="Arial" w:cs="Arial"/>
          <w:color w:val="000000"/>
          <w:sz w:val="24"/>
          <w:szCs w:val="24"/>
          <w:shd w:val="clear" w:color="auto" w:fill="FFFFFF"/>
        </w:rPr>
        <w:t>, die </w:t>
      </w:r>
      <w:hyperlink r:id="rId6" w:history="1">
        <w:r w:rsidRPr="00E65547">
          <w:rPr>
            <w:rStyle w:val="Hypertextovodkaz"/>
            <w:rFonts w:ascii="Arial" w:hAnsi="Arial" w:cs="Arial"/>
            <w:sz w:val="24"/>
            <w:szCs w:val="24"/>
            <w:bdr w:val="none" w:sz="0" w:space="0" w:color="auto" w:frame="1"/>
            <w:shd w:val="clear" w:color="auto" w:fill="FFFFFF"/>
          </w:rPr>
          <w:t>Descriptio Terrae Sanctae</w:t>
        </w:r>
      </w:hyperlink>
      <w:r w:rsidRPr="00E65547">
        <w:rPr>
          <w:rFonts w:ascii="Arial" w:hAnsi="Arial" w:cs="Arial"/>
          <w:color w:val="000000"/>
          <w:sz w:val="24"/>
          <w:szCs w:val="24"/>
          <w:shd w:val="clear" w:color="auto" w:fill="FFFFFF"/>
        </w:rPr>
        <w:t> des </w:t>
      </w:r>
      <w:hyperlink r:id="rId7" w:history="1">
        <w:r w:rsidRPr="00E65547">
          <w:rPr>
            <w:rStyle w:val="Hypertextovodkaz"/>
            <w:rFonts w:ascii="Arial" w:hAnsi="Arial" w:cs="Arial"/>
            <w:sz w:val="24"/>
            <w:szCs w:val="24"/>
            <w:bdr w:val="none" w:sz="0" w:space="0" w:color="auto" w:frame="1"/>
            <w:shd w:val="clear" w:color="auto" w:fill="FFFFFF"/>
          </w:rPr>
          <w:t>Burchardus de Monte Sion</w:t>
        </w:r>
      </w:hyperlink>
      <w:r w:rsidRPr="00E65547">
        <w:rPr>
          <w:rFonts w:ascii="Arial" w:hAnsi="Arial" w:cs="Arial"/>
          <w:color w:val="000000"/>
          <w:sz w:val="24"/>
          <w:szCs w:val="24"/>
          <w:shd w:val="clear" w:color="auto" w:fill="FFFFFF"/>
        </w:rPr>
        <w:t> und ein umfangreiches Register. Die christliche Ära ist in Anlehnung an das </w:t>
      </w:r>
      <w:hyperlink r:id="rId8" w:history="1">
        <w:r w:rsidRPr="00E65547">
          <w:rPr>
            <w:rStyle w:val="Hypertextovodkaz"/>
            <w:rFonts w:ascii="Arial" w:hAnsi="Arial" w:cs="Arial"/>
            <w:sz w:val="24"/>
            <w:szCs w:val="24"/>
            <w:bdr w:val="none" w:sz="0" w:space="0" w:color="auto" w:frame="1"/>
            <w:shd w:val="clear" w:color="auto" w:fill="FFFFFF"/>
          </w:rPr>
          <w:t>Chronicon Pontificum et Imperatorum</w:t>
        </w:r>
      </w:hyperlink>
      <w:r w:rsidRPr="00E65547">
        <w:rPr>
          <w:rFonts w:ascii="Arial" w:hAnsi="Arial" w:cs="Arial"/>
          <w:color w:val="000000"/>
          <w:sz w:val="24"/>
          <w:szCs w:val="24"/>
          <w:shd w:val="clear" w:color="auto" w:fill="FFFFFF"/>
        </w:rPr>
        <w:t> des </w:t>
      </w:r>
      <w:hyperlink r:id="rId9" w:history="1">
        <w:r w:rsidRPr="00E65547">
          <w:rPr>
            <w:rStyle w:val="Hypertextovodkaz"/>
            <w:rFonts w:ascii="Arial" w:hAnsi="Arial" w:cs="Arial"/>
            <w:sz w:val="24"/>
            <w:szCs w:val="24"/>
            <w:bdr w:val="none" w:sz="0" w:space="0" w:color="auto" w:frame="1"/>
            <w:shd w:val="clear" w:color="auto" w:fill="FFFFFF"/>
          </w:rPr>
          <w:t>Martin von Troppau</w:t>
        </w:r>
      </w:hyperlink>
      <w:r w:rsidRPr="00E65547">
        <w:rPr>
          <w:rFonts w:ascii="Arial" w:hAnsi="Arial" w:cs="Arial"/>
          <w:color w:val="000000"/>
          <w:sz w:val="24"/>
          <w:szCs w:val="24"/>
          <w:shd w:val="clear" w:color="auto" w:fill="FFFFFF"/>
        </w:rPr>
        <w:t> gestaltet. Die Listen der Päpste und Kaiser sind ergänzt durch eine synoptische Liste der Gelehrten und Dichter. Der Verfasser kam offenbar aus </w:t>
      </w:r>
      <w:hyperlink r:id="rId10" w:history="1">
        <w:r w:rsidRPr="00E65547">
          <w:rPr>
            <w:rStyle w:val="Hypertextovodkaz"/>
            <w:rFonts w:ascii="Arial" w:hAnsi="Arial" w:cs="Arial"/>
            <w:sz w:val="24"/>
            <w:szCs w:val="24"/>
            <w:bdr w:val="none" w:sz="0" w:space="0" w:color="auto" w:frame="1"/>
            <w:shd w:val="clear" w:color="auto" w:fill="FFFFFF"/>
          </w:rPr>
          <w:t>Lübeck</w:t>
        </w:r>
      </w:hyperlink>
      <w:r w:rsidRPr="00E65547">
        <w:rPr>
          <w:rFonts w:ascii="Arial" w:hAnsi="Arial" w:cs="Arial"/>
          <w:color w:val="000000"/>
          <w:sz w:val="24"/>
          <w:szCs w:val="24"/>
          <w:shd w:val="clear" w:color="auto" w:fill="FFFFFF"/>
        </w:rPr>
        <w:t> (Schleswig-Holstein) und gehörte vielleicht dem dortigen </w:t>
      </w:r>
      <w:hyperlink r:id="rId11" w:history="1">
        <w:r w:rsidRPr="00E65547">
          <w:rPr>
            <w:rStyle w:val="Hypertextovodkaz"/>
            <w:rFonts w:ascii="Arial" w:hAnsi="Arial" w:cs="Arial"/>
            <w:sz w:val="24"/>
            <w:szCs w:val="24"/>
            <w:bdr w:val="none" w:sz="0" w:space="0" w:color="auto" w:frame="1"/>
            <w:shd w:val="clear" w:color="auto" w:fill="FFFFFF"/>
          </w:rPr>
          <w:t>Franziskanerkonvent</w:t>
        </w:r>
      </w:hyperlink>
      <w:r w:rsidRPr="00E65547">
        <w:rPr>
          <w:rFonts w:ascii="Arial" w:hAnsi="Arial" w:cs="Arial"/>
          <w:color w:val="000000"/>
          <w:sz w:val="24"/>
          <w:szCs w:val="24"/>
          <w:shd w:val="clear" w:color="auto" w:fill="FFFFFF"/>
        </w:rPr>
        <w:t> an. Eine eigenständige handschriftliche Überlieferung ist nicht nachgewiesen. Inc.: </w:t>
      </w:r>
      <w:r w:rsidRPr="00E65547">
        <w:rPr>
          <w:sz w:val="24"/>
          <w:szCs w:val="24"/>
        </w:rPr>
        <w:t>Beatus vir qui in sapiencia morabitur</w:t>
      </w:r>
      <w:r w:rsidRPr="00E65547">
        <w:rPr>
          <w:rFonts w:ascii="Arial" w:hAnsi="Arial" w:cs="Arial"/>
          <w:color w:val="000000"/>
          <w:sz w:val="24"/>
          <w:szCs w:val="24"/>
          <w:shd w:val="clear" w:color="auto" w:fill="FFFFFF"/>
        </w:rPr>
        <w:t>.</w:t>
      </w:r>
    </w:p>
    <w:p w14:paraId="07B8D21F" w14:textId="77777777" w:rsidR="00B7020C" w:rsidRDefault="00B7020C" w:rsidP="00B7020C">
      <w:pPr>
        <w:rPr>
          <w:b/>
          <w:bCs/>
          <w:sz w:val="24"/>
          <w:szCs w:val="24"/>
        </w:rPr>
      </w:pPr>
    </w:p>
    <w:p w14:paraId="3B5A60BE" w14:textId="74214CEE" w:rsidR="00B7020C" w:rsidRDefault="00B7020C" w:rsidP="00B7020C">
      <w:pPr>
        <w:jc w:val="both"/>
        <w:rPr>
          <w:b/>
          <w:bCs/>
          <w:sz w:val="24"/>
          <w:szCs w:val="24"/>
        </w:rPr>
      </w:pPr>
      <w:r w:rsidRPr="00352991">
        <w:rPr>
          <w:b/>
          <w:bCs/>
          <w:sz w:val="24"/>
          <w:szCs w:val="24"/>
        </w:rPr>
        <w:t>EXEMPLÁŘ V NK ČR, 39 B 22</w:t>
      </w:r>
    </w:p>
    <w:p w14:paraId="4E53DE25" w14:textId="77777777" w:rsidR="00B7020C" w:rsidRDefault="00B7020C" w:rsidP="00B7020C">
      <w:pPr>
        <w:jc w:val="both"/>
        <w:rPr>
          <w:sz w:val="24"/>
          <w:szCs w:val="24"/>
        </w:rPr>
      </w:pPr>
      <w:r>
        <w:rPr>
          <w:sz w:val="24"/>
          <w:szCs w:val="24"/>
        </w:rPr>
        <w:t>SLOŽENÍ (foliace podle staré fol. ve sv.)</w:t>
      </w:r>
    </w:p>
    <w:p w14:paraId="027E128D" w14:textId="77777777" w:rsidR="00B7020C" w:rsidRDefault="00B7020C" w:rsidP="00B7020C">
      <w:pPr>
        <w:spacing w:after="0"/>
        <w:jc w:val="both"/>
        <w:rPr>
          <w:sz w:val="24"/>
          <w:szCs w:val="24"/>
        </w:rPr>
      </w:pPr>
      <w:r>
        <w:rPr>
          <w:sz w:val="24"/>
          <w:szCs w:val="24"/>
        </w:rPr>
        <w:t>1r-2v předmluva k RN</w:t>
      </w:r>
    </w:p>
    <w:p w14:paraId="399A6E49" w14:textId="77777777" w:rsidR="00B7020C" w:rsidRDefault="00B7020C" w:rsidP="00B7020C">
      <w:pPr>
        <w:spacing w:after="0"/>
        <w:jc w:val="both"/>
        <w:rPr>
          <w:sz w:val="24"/>
          <w:szCs w:val="24"/>
        </w:rPr>
      </w:pPr>
      <w:r>
        <w:rPr>
          <w:sz w:val="24"/>
          <w:szCs w:val="24"/>
        </w:rPr>
        <w:t>3r-17v</w:t>
      </w:r>
      <w:r>
        <w:rPr>
          <w:sz w:val="24"/>
          <w:szCs w:val="24"/>
        </w:rPr>
        <w:tab/>
        <w:t>Opera sex dierum</w:t>
      </w:r>
    </w:p>
    <w:p w14:paraId="7485AFCD" w14:textId="77777777" w:rsidR="00B7020C" w:rsidRDefault="00B7020C" w:rsidP="00B7020C">
      <w:pPr>
        <w:spacing w:after="0"/>
        <w:jc w:val="both"/>
        <w:rPr>
          <w:sz w:val="24"/>
          <w:szCs w:val="24"/>
        </w:rPr>
      </w:pPr>
      <w:r>
        <w:rPr>
          <w:sz w:val="24"/>
          <w:szCs w:val="24"/>
        </w:rPr>
        <w:t>obrázek Adam a Eva</w:t>
      </w:r>
    </w:p>
    <w:p w14:paraId="47B62EAD" w14:textId="77777777" w:rsidR="00B7020C" w:rsidRDefault="00B7020C" w:rsidP="00B7020C">
      <w:pPr>
        <w:spacing w:after="0"/>
        <w:jc w:val="both"/>
        <w:rPr>
          <w:sz w:val="24"/>
          <w:szCs w:val="24"/>
        </w:rPr>
      </w:pPr>
      <w:r>
        <w:rPr>
          <w:sz w:val="24"/>
          <w:szCs w:val="24"/>
        </w:rPr>
        <w:t>19r</w:t>
      </w:r>
      <w:r>
        <w:rPr>
          <w:sz w:val="24"/>
          <w:szCs w:val="24"/>
        </w:rPr>
        <w:tab/>
        <w:t>Prima aetas</w:t>
      </w:r>
    </w:p>
    <w:p w14:paraId="33298F92" w14:textId="77777777" w:rsidR="00B7020C" w:rsidRDefault="00B7020C" w:rsidP="00B7020C">
      <w:pPr>
        <w:spacing w:after="0"/>
        <w:jc w:val="both"/>
        <w:rPr>
          <w:sz w:val="24"/>
          <w:szCs w:val="24"/>
        </w:rPr>
      </w:pPr>
      <w:r>
        <w:rPr>
          <w:sz w:val="24"/>
          <w:szCs w:val="24"/>
        </w:rPr>
        <w:t>37v</w:t>
      </w:r>
      <w:r>
        <w:rPr>
          <w:sz w:val="24"/>
          <w:szCs w:val="24"/>
        </w:rPr>
        <w:tab/>
        <w:t>Secunda aetas (Noe etc.)</w:t>
      </w:r>
    </w:p>
    <w:p w14:paraId="5C759D05" w14:textId="77777777" w:rsidR="00B7020C" w:rsidRDefault="00B7020C" w:rsidP="00B7020C">
      <w:pPr>
        <w:spacing w:after="0"/>
        <w:jc w:val="both"/>
        <w:rPr>
          <w:sz w:val="24"/>
          <w:szCs w:val="24"/>
        </w:rPr>
      </w:pPr>
      <w:r>
        <w:rPr>
          <w:sz w:val="24"/>
          <w:szCs w:val="24"/>
        </w:rPr>
        <w:t>46v-75r Mappamundi</w:t>
      </w:r>
    </w:p>
    <w:p w14:paraId="27159F83" w14:textId="77777777" w:rsidR="00B7020C" w:rsidRDefault="00B7020C" w:rsidP="00B7020C">
      <w:pPr>
        <w:spacing w:after="0"/>
        <w:jc w:val="both"/>
        <w:rPr>
          <w:sz w:val="24"/>
          <w:szCs w:val="24"/>
        </w:rPr>
      </w:pPr>
      <w:r>
        <w:rPr>
          <w:sz w:val="24"/>
          <w:szCs w:val="24"/>
        </w:rPr>
        <w:t>76r-105v vložené geografické pojednání (Cum enim ut predictum est ubi Phalech et Iaphet…)</w:t>
      </w:r>
    </w:p>
    <w:p w14:paraId="03951E24" w14:textId="77777777" w:rsidR="00B7020C" w:rsidRDefault="00B7020C" w:rsidP="00B7020C">
      <w:pPr>
        <w:spacing w:after="0"/>
        <w:jc w:val="both"/>
        <w:rPr>
          <w:sz w:val="24"/>
          <w:szCs w:val="24"/>
        </w:rPr>
      </w:pPr>
      <w:r>
        <w:rPr>
          <w:sz w:val="24"/>
          <w:szCs w:val="24"/>
        </w:rPr>
        <w:t>106v návrat k </w:t>
      </w:r>
      <w:r w:rsidRPr="001515AB">
        <w:rPr>
          <w:i/>
          <w:iCs/>
          <w:sz w:val="24"/>
          <w:szCs w:val="24"/>
        </w:rPr>
        <w:t>Historia sacra</w:t>
      </w:r>
      <w:r>
        <w:rPr>
          <w:i/>
          <w:iCs/>
          <w:sz w:val="24"/>
          <w:szCs w:val="24"/>
        </w:rPr>
        <w:t xml:space="preserve"> </w:t>
      </w:r>
      <w:r>
        <w:rPr>
          <w:sz w:val="24"/>
          <w:szCs w:val="24"/>
        </w:rPr>
        <w:t>(Reu sive Ragau ut dicitur)</w:t>
      </w:r>
    </w:p>
    <w:p w14:paraId="0AB1EB60" w14:textId="77777777" w:rsidR="00B7020C" w:rsidRDefault="00B7020C" w:rsidP="00B7020C">
      <w:pPr>
        <w:spacing w:after="0"/>
        <w:jc w:val="both"/>
        <w:rPr>
          <w:sz w:val="24"/>
          <w:szCs w:val="24"/>
        </w:rPr>
      </w:pPr>
      <w:r>
        <w:rPr>
          <w:sz w:val="24"/>
          <w:szCs w:val="24"/>
        </w:rPr>
        <w:t>110v Tercia etas (Abraham + Izák)</w:t>
      </w:r>
    </w:p>
    <w:p w14:paraId="669F805D" w14:textId="0A2F4397" w:rsidR="00B7020C" w:rsidRDefault="00B7020C" w:rsidP="00B7020C">
      <w:pPr>
        <w:spacing w:after="0"/>
        <w:jc w:val="both"/>
        <w:rPr>
          <w:sz w:val="24"/>
          <w:szCs w:val="24"/>
        </w:rPr>
      </w:pPr>
      <w:r>
        <w:rPr>
          <w:sz w:val="24"/>
          <w:szCs w:val="24"/>
        </w:rPr>
        <w:t>162v-163r mapa S</w:t>
      </w:r>
      <w:r>
        <w:rPr>
          <w:sz w:val="24"/>
          <w:szCs w:val="24"/>
        </w:rPr>
        <w:t>vaté země</w:t>
      </w:r>
    </w:p>
    <w:p w14:paraId="100C5C5C" w14:textId="10B6D547" w:rsidR="00B7020C" w:rsidRDefault="00B7020C" w:rsidP="00B7020C">
      <w:pPr>
        <w:spacing w:after="0"/>
        <w:jc w:val="both"/>
        <w:rPr>
          <w:sz w:val="24"/>
          <w:szCs w:val="24"/>
        </w:rPr>
      </w:pPr>
      <w:r>
        <w:rPr>
          <w:sz w:val="24"/>
          <w:szCs w:val="24"/>
        </w:rPr>
        <w:t>164r Descriptio T</w:t>
      </w:r>
      <w:r>
        <w:rPr>
          <w:sz w:val="24"/>
          <w:szCs w:val="24"/>
        </w:rPr>
        <w:t xml:space="preserve">errae </w:t>
      </w:r>
      <w:r>
        <w:rPr>
          <w:sz w:val="24"/>
          <w:szCs w:val="24"/>
        </w:rPr>
        <w:t>S</w:t>
      </w:r>
      <w:r>
        <w:rPr>
          <w:sz w:val="24"/>
          <w:szCs w:val="24"/>
        </w:rPr>
        <w:t>anctae</w:t>
      </w:r>
      <w:r>
        <w:rPr>
          <w:sz w:val="24"/>
          <w:szCs w:val="24"/>
        </w:rPr>
        <w:t xml:space="preserve"> (B</w:t>
      </w:r>
      <w:r>
        <w:rPr>
          <w:sz w:val="24"/>
          <w:szCs w:val="24"/>
        </w:rPr>
        <w:t xml:space="preserve">urchardus de </w:t>
      </w:r>
      <w:r>
        <w:rPr>
          <w:sz w:val="24"/>
          <w:szCs w:val="24"/>
        </w:rPr>
        <w:t>M</w:t>
      </w:r>
      <w:r>
        <w:rPr>
          <w:sz w:val="24"/>
          <w:szCs w:val="24"/>
        </w:rPr>
        <w:t xml:space="preserve">onte </w:t>
      </w:r>
      <w:r>
        <w:rPr>
          <w:sz w:val="24"/>
          <w:szCs w:val="24"/>
        </w:rPr>
        <w:t>S</w:t>
      </w:r>
      <w:r>
        <w:rPr>
          <w:sz w:val="24"/>
          <w:szCs w:val="24"/>
        </w:rPr>
        <w:t>ion</w:t>
      </w:r>
      <w:r>
        <w:rPr>
          <w:sz w:val="24"/>
          <w:szCs w:val="24"/>
        </w:rPr>
        <w:t>)</w:t>
      </w:r>
    </w:p>
    <w:p w14:paraId="453FF077" w14:textId="77777777" w:rsidR="00B7020C" w:rsidRDefault="00B7020C" w:rsidP="00B7020C">
      <w:pPr>
        <w:spacing w:after="0"/>
        <w:jc w:val="both"/>
        <w:rPr>
          <w:sz w:val="24"/>
          <w:szCs w:val="24"/>
        </w:rPr>
      </w:pPr>
      <w:r>
        <w:rPr>
          <w:sz w:val="24"/>
          <w:szCs w:val="24"/>
        </w:rPr>
        <w:t>188v Quarta etas (David, Šalamoun)</w:t>
      </w:r>
    </w:p>
    <w:p w14:paraId="40F8E42A" w14:textId="77777777" w:rsidR="00B7020C" w:rsidRDefault="00B7020C" w:rsidP="00B7020C">
      <w:pPr>
        <w:spacing w:after="0"/>
        <w:jc w:val="both"/>
        <w:rPr>
          <w:sz w:val="24"/>
          <w:szCs w:val="24"/>
        </w:rPr>
      </w:pPr>
      <w:r>
        <w:rPr>
          <w:sz w:val="24"/>
          <w:szCs w:val="24"/>
        </w:rPr>
        <w:t>228r Quinta etas (242v obr. Jeruzaléma, 262v Alexandr)</w:t>
      </w:r>
    </w:p>
    <w:p w14:paraId="2755FE6B" w14:textId="77777777" w:rsidR="00B7020C" w:rsidRDefault="00B7020C" w:rsidP="00B7020C">
      <w:pPr>
        <w:spacing w:after="0"/>
        <w:jc w:val="both"/>
        <w:rPr>
          <w:sz w:val="24"/>
          <w:szCs w:val="24"/>
        </w:rPr>
      </w:pPr>
      <w:r>
        <w:rPr>
          <w:sz w:val="24"/>
          <w:szCs w:val="24"/>
        </w:rPr>
        <w:t>288v Sexta etas (Ihesus – odtud synoptická schémata: linia pontificum, imperatorum, poetarum/doctorum)</w:t>
      </w:r>
    </w:p>
    <w:p w14:paraId="290E1C93" w14:textId="77777777" w:rsidR="00B7020C" w:rsidRPr="001515AB" w:rsidRDefault="00B7020C" w:rsidP="00B7020C">
      <w:pPr>
        <w:spacing w:after="0"/>
        <w:jc w:val="both"/>
        <w:rPr>
          <w:sz w:val="24"/>
          <w:szCs w:val="24"/>
        </w:rPr>
      </w:pPr>
      <w:r>
        <w:rPr>
          <w:sz w:val="24"/>
          <w:szCs w:val="24"/>
        </w:rPr>
        <w:t xml:space="preserve">408v - finis </w:t>
      </w:r>
    </w:p>
    <w:p w14:paraId="1D6AF4BE" w14:textId="77777777" w:rsidR="00B7020C" w:rsidRDefault="00B7020C" w:rsidP="00B7020C">
      <w:pPr>
        <w:jc w:val="both"/>
        <w:rPr>
          <w:sz w:val="24"/>
          <w:szCs w:val="24"/>
        </w:rPr>
      </w:pPr>
    </w:p>
    <w:p w14:paraId="291976A8" w14:textId="640EF2C3" w:rsidR="00AD0868" w:rsidRDefault="00B7020C">
      <w:pPr>
        <w:rPr>
          <w:b/>
          <w:bCs/>
        </w:rPr>
      </w:pPr>
      <w:r w:rsidRPr="00B7020C">
        <w:rPr>
          <w:b/>
          <w:bCs/>
        </w:rPr>
        <w:t>POPIS SVAZKU (dr. Kamil Boldan)</w:t>
      </w:r>
    </w:p>
    <w:p w14:paraId="5F0B6AAC" w14:textId="77777777" w:rsidR="00B7020C" w:rsidRDefault="00B7020C" w:rsidP="00B7020C">
      <w:pPr>
        <w:pStyle w:val="-wm-msonormal"/>
        <w:shd w:val="clear" w:color="auto" w:fill="FFFFFF"/>
        <w:spacing w:before="0" w:beforeAutospacing="0" w:after="0" w:afterAutospacing="0"/>
        <w:rPr>
          <w:color w:val="000000"/>
        </w:rPr>
      </w:pPr>
      <w:r>
        <w:rPr>
          <w:rFonts w:ascii="Calibri" w:hAnsi="Calibri" w:cs="Calibri"/>
          <w:color w:val="1F497D"/>
          <w:sz w:val="22"/>
          <w:szCs w:val="22"/>
        </w:rPr>
        <w:t xml:space="preserve">Vazba soudobá (41 x 30 cm). Dřevěné desky s potahem z třísločiněné kůže, zdobeným slepotiskem v rámové kompozici. Práce slezské dílny činné ve Vratislavi. Přední deska, jež byla zlomena, opravena a na přelomu 18./19. stol. a přelepena celá šedým škrobovým papírem. Hřbet opravován ještě dříve a </w:t>
      </w:r>
      <w:r>
        <w:rPr>
          <w:rFonts w:ascii="Calibri" w:hAnsi="Calibri" w:cs="Calibri"/>
          <w:color w:val="1F497D"/>
          <w:sz w:val="22"/>
          <w:szCs w:val="22"/>
        </w:rPr>
        <w:lastRenderedPageBreak/>
        <w:t>přelepen hrubým plátnem. To později přetřeno šedavou barvou s červeně psaným titulem a signaturou klementinské koleje. Stopy po dvou sponách, nárožnicích a středovém kování.</w:t>
      </w:r>
    </w:p>
    <w:p w14:paraId="5408423E" w14:textId="77777777" w:rsidR="00B7020C" w:rsidRDefault="00B7020C" w:rsidP="00B7020C">
      <w:pPr>
        <w:pStyle w:val="-wm-msonormal"/>
        <w:shd w:val="clear" w:color="auto" w:fill="FFFFFF"/>
        <w:spacing w:before="0" w:beforeAutospacing="0" w:after="0" w:afterAutospacing="0"/>
        <w:rPr>
          <w:color w:val="000000"/>
        </w:rPr>
      </w:pPr>
      <w:r>
        <w:rPr>
          <w:rFonts w:ascii="Calibri" w:hAnsi="Calibri" w:cs="Calibri"/>
          <w:color w:val="1F497D"/>
          <w:sz w:val="22"/>
          <w:szCs w:val="22"/>
        </w:rPr>
        <w:t>Provenience: Na fol. [P11b] u příslušného roku kroniky přípisek prvního majitele "1439. Hoc anno in die palmarum natus sum ego, Michael Blorok in Grotke". Na fol. [a2a] "Caes. col. Soc. Jesu Pragae" (16./17. stol.). Praha, Staré Město, Klementinum - jezuité. Původní klementinský fond.</w:t>
      </w:r>
    </w:p>
    <w:p w14:paraId="2C840047" w14:textId="77777777" w:rsidR="00B7020C" w:rsidRPr="00B7020C" w:rsidRDefault="00B7020C">
      <w:pPr>
        <w:rPr>
          <w:b/>
          <w:bCs/>
        </w:rPr>
      </w:pPr>
    </w:p>
    <w:sectPr w:rsidR="00B7020C" w:rsidRPr="00B70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0C"/>
    <w:rsid w:val="00AD0868"/>
    <w:rsid w:val="00B70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18E8"/>
  <w15:chartTrackingRefBased/>
  <w15:docId w15:val="{B4283387-A8A2-4C9E-A7B9-C40698F3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02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020C"/>
    <w:rPr>
      <w:color w:val="0000FF"/>
      <w:u w:val="single"/>
    </w:rPr>
  </w:style>
  <w:style w:type="paragraph" w:customStyle="1" w:styleId="-wm-msonormal">
    <w:name w:val="-wm-msonormal"/>
    <w:basedOn w:val="Normln"/>
    <w:rsid w:val="00B7020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chichtsquellen.de/werk/344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eschichtsquellen.de/person/1267?mod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schichtsquellen.de/werk/742" TargetMode="External"/><Relationship Id="rId11" Type="http://schemas.openxmlformats.org/officeDocument/2006/relationships/hyperlink" Target="https://geschichtsquellen.de/ort/368?modus=Q" TargetMode="External"/><Relationship Id="rId5" Type="http://schemas.openxmlformats.org/officeDocument/2006/relationships/hyperlink" Target="https://geschichtsquellen.de/person/21001?modus=" TargetMode="External"/><Relationship Id="rId10" Type="http://schemas.openxmlformats.org/officeDocument/2006/relationships/hyperlink" Target="https://geschichtsquellen.de/ort/100?modus=Q" TargetMode="External"/><Relationship Id="rId4" Type="http://schemas.openxmlformats.org/officeDocument/2006/relationships/hyperlink" Target="https://geschichtsquellen.de/ort/33?modus=Q" TargetMode="External"/><Relationship Id="rId9" Type="http://schemas.openxmlformats.org/officeDocument/2006/relationships/hyperlink" Target="https://geschichtsquellen.de/person/3805?modu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2628</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Svátek</dc:creator>
  <cp:keywords/>
  <dc:description/>
  <cp:lastModifiedBy>Jaroslav Svátek</cp:lastModifiedBy>
  <cp:revision>1</cp:revision>
  <dcterms:created xsi:type="dcterms:W3CDTF">2022-05-10T18:53:00Z</dcterms:created>
  <dcterms:modified xsi:type="dcterms:W3CDTF">2022-05-10T18:55:00Z</dcterms:modified>
</cp:coreProperties>
</file>