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D422" w14:textId="67CC481E" w:rsidR="006B50D7" w:rsidRPr="006B50D7" w:rsidRDefault="006B50D7" w:rsidP="00AC51E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Architektura na dvoře prvních Habsburků</w:t>
      </w:r>
    </w:p>
    <w:p w14:paraId="65CC6489" w14:textId="049A9C5E" w:rsidR="009502F6" w:rsidRDefault="00661762" w:rsidP="00AC51EC">
      <w:pPr>
        <w:spacing w:line="276" w:lineRule="auto"/>
        <w:ind w:firstLine="708"/>
        <w:jc w:val="both"/>
      </w:pPr>
      <w:r>
        <w:t>Součástí každé panovnické dynastie na jakémkoliv dvoře je umělecká sféra – ať už se jedná o sbírky výtvarného umění, kulturní akce, nebo architekturu. Toto, někdy více, jindy méně, vědomé podporování umění sloužilo k celé řadě cílů. Nepochybně se jednalo například (zejména v případě architektury) o zvyšování kvality života a udržování si kontaktu s dobou. S tím se pojila sebeprezentace a budování prestiže</w:t>
      </w:r>
      <w:r w:rsidR="00FD50B5">
        <w:t xml:space="preserve"> v rámci dvora i mimo něj – nejen osoby konkrétního panovníka, ale celého jeho rodu. </w:t>
      </w:r>
      <w:r w:rsidR="00EE4A88">
        <w:t>A n</w:t>
      </w:r>
      <w:r w:rsidR="00FD50B5">
        <w:t xml:space="preserve">edílnou součástí podpory umění byl také osobní vztah </w:t>
      </w:r>
      <w:r w:rsidR="0050159B">
        <w:t>toho</w:t>
      </w:r>
      <w:r w:rsidR="00EE4A88">
        <w:t xml:space="preserve"> kterého panovníka</w:t>
      </w:r>
      <w:r w:rsidR="00FD50B5">
        <w:t>. Umění se v jisté míře rozvíjelo za každého panovníka autonomním způsobem, ale za panovníka v umění osvíceném</w:t>
      </w:r>
      <w:r w:rsidR="00EE4A88">
        <w:t>,</w:t>
      </w:r>
      <w:r w:rsidR="00FD50B5">
        <w:t xml:space="preserve"> se rozvíjelo výraznou měrou. Jaký byl stav umění na českém dvoře za vlády prvních Habsburků je tématem tohoto textu.</w:t>
      </w:r>
    </w:p>
    <w:p w14:paraId="3607D766" w14:textId="2AC06FFC" w:rsidR="009502F6" w:rsidRDefault="009502F6" w:rsidP="00AC51EC">
      <w:pPr>
        <w:spacing w:line="276" w:lineRule="auto"/>
        <w:ind w:firstLine="708"/>
        <w:jc w:val="both"/>
      </w:pPr>
      <w:r>
        <w:t>Nejprve je příhodné na tomto místě uvést základní rysy doby nástupu Ferdinanda I. Přelom 15. a 16. století je v prostoru českých zemí spojen s</w:t>
      </w:r>
      <w:r w:rsidR="0059204C">
        <w:t> </w:t>
      </w:r>
      <w:r>
        <w:t>renesancí</w:t>
      </w:r>
      <w:r w:rsidR="0059204C">
        <w:t>, ale i</w:t>
      </w:r>
      <w:r w:rsidR="00E17719">
        <w:t xml:space="preserve"> </w:t>
      </w:r>
      <w:r w:rsidR="0059204C">
        <w:t>s gotikou, která</w:t>
      </w:r>
      <w:r w:rsidR="009E5D5D">
        <w:t xml:space="preserve"> si stále drží důležité místo a řada nedokončených staveb z</w:t>
      </w:r>
      <w:r w:rsidR="00721F75">
        <w:t> </w:t>
      </w:r>
      <w:r w:rsidR="009E5D5D">
        <w:t>před</w:t>
      </w:r>
      <w:r w:rsidR="00721F75">
        <w:t>-</w:t>
      </w:r>
      <w:r w:rsidR="009E5D5D">
        <w:t>husitské doby je dokončována v tomto stylu</w:t>
      </w:r>
      <w:r>
        <w:t xml:space="preserve">. </w:t>
      </w:r>
      <w:r w:rsidR="009E5D5D">
        <w:t>Renesance</w:t>
      </w:r>
      <w:r>
        <w:t xml:space="preserve"> se dostává</w:t>
      </w:r>
      <w:r w:rsidR="009E5D5D">
        <w:t xml:space="preserve"> do </w:t>
      </w:r>
      <w:r w:rsidR="00721F75">
        <w:t>č</w:t>
      </w:r>
      <w:r w:rsidR="009E5D5D">
        <w:t xml:space="preserve">eských zemí </w:t>
      </w:r>
      <w:r>
        <w:t>nejprve na území Moravy skrze</w:t>
      </w:r>
      <w:r w:rsidR="005655CF">
        <w:t xml:space="preserve"> Uhry, kde se ujala zejména díky Matyáši Korvínovi. Nejstarší renesanční prvky tak lze nalézt </w:t>
      </w:r>
      <w:r w:rsidR="005A06D7">
        <w:t>na portálech dvou moravských zámků. N</w:t>
      </w:r>
      <w:r w:rsidR="005655CF">
        <w:t>a zámku v Tovačově nedaleko Olomouce</w:t>
      </w:r>
      <w:r w:rsidR="005A06D7">
        <w:t xml:space="preserve"> nechal v roce 1492 vybudovat jeho vlastník Ctibor Tovačovský z Cimburka renesanční portál inspirovaný italskou architekturou.</w:t>
      </w:r>
      <w:r w:rsidR="005655CF">
        <w:t xml:space="preserve"> </w:t>
      </w:r>
      <w:r w:rsidR="005A06D7">
        <w:t>Na nedalekém</w:t>
      </w:r>
      <w:r w:rsidR="005655CF">
        <w:t xml:space="preserve"> zámku v Moravské Třebové</w:t>
      </w:r>
      <w:r w:rsidR="005A06D7">
        <w:t xml:space="preserve"> nechal </w:t>
      </w:r>
      <w:r w:rsidR="00DC5C7A">
        <w:t>o rok později</w:t>
      </w:r>
      <w:r w:rsidR="005A06D7">
        <w:t xml:space="preserve"> vybudovat obdobný portál Ladislav z Boskovic.</w:t>
      </w:r>
      <w:r w:rsidR="009E5D5D">
        <w:rPr>
          <w:rStyle w:val="Znakapoznpodarou"/>
        </w:rPr>
        <w:footnoteReference w:id="1"/>
      </w:r>
      <w:r w:rsidR="009E5D5D">
        <w:t xml:space="preserve"> Zde je vidět, že výraznou roli v ujímání se nového stylu (ale i v jeho dalším rozvíjení) hrála šlechta</w:t>
      </w:r>
      <w:r w:rsidR="00DC5C7A">
        <w:t>, nicméně ani panovnický dvůr nebyl v opoždění. Již roku 1493 vznikají při dostavbě Vladislavského sálu</w:t>
      </w:r>
      <w:r w:rsidR="00721F75">
        <w:t xml:space="preserve"> na Pražském hradě</w:t>
      </w:r>
      <w:r w:rsidR="00DC5C7A">
        <w:t xml:space="preserve"> renesanční okna, jež jsou pokládána za první renesanční prvek v architektuře v Čechách.</w:t>
      </w:r>
    </w:p>
    <w:p w14:paraId="0AC5F48D" w14:textId="40CABA41" w:rsidR="003E62CC" w:rsidRDefault="003E62CC" w:rsidP="00AC51EC">
      <w:pPr>
        <w:spacing w:line="276" w:lineRule="auto"/>
        <w:ind w:firstLine="708"/>
        <w:jc w:val="both"/>
      </w:pPr>
      <w:r>
        <w:t xml:space="preserve">Nástup Ferdinanda I. na český trůn v roce 1526 znamenal pro Prahu </w:t>
      </w:r>
      <w:r w:rsidR="00E17719">
        <w:t>kulturní</w:t>
      </w:r>
      <w:r>
        <w:t xml:space="preserve"> rozkvět. Ačkoliv v Praze </w:t>
      </w:r>
      <w:r w:rsidR="00E17719">
        <w:t>Ferdinand</w:t>
      </w:r>
      <w:r>
        <w:t xml:space="preserve"> trvale nesídlil, rozhodně ji nezanedbával. Ani by si to pravděpodobně nemohl dovolit – Praha byla přeci jen významné město</w:t>
      </w:r>
      <w:r w:rsidR="00605772">
        <w:t xml:space="preserve"> a její zvelebování vytvářelo u místních pozitivní představu o panovníkovi, ale také o celém </w:t>
      </w:r>
      <w:r w:rsidR="00721F75">
        <w:t>h</w:t>
      </w:r>
      <w:r w:rsidR="00605772">
        <w:t>absburském rodu.</w:t>
      </w:r>
      <w:r w:rsidR="00605772">
        <w:rPr>
          <w:rStyle w:val="Znakapoznpodarou"/>
        </w:rPr>
        <w:footnoteReference w:id="2"/>
      </w:r>
      <w:r w:rsidR="00605772">
        <w:t xml:space="preserve"> Již brzy po nástupu tak začal Habsburk s přestavbou okolí Pražského hradu. Po vzoru tehdejších trendů se soustředil na zkrášlování hradních zahrad. Jednu zcela novou nechal vystavět za Jelením příkopem pod vedením Giovanniho Spatia.</w:t>
      </w:r>
      <w:r w:rsidR="00605772">
        <w:rPr>
          <w:rStyle w:val="Znakapoznpodarou"/>
        </w:rPr>
        <w:footnoteReference w:id="3"/>
      </w:r>
      <w:r w:rsidR="00146F18">
        <w:t xml:space="preserve"> Právě volná </w:t>
      </w:r>
      <w:r w:rsidR="00E17719">
        <w:t>prostranství</w:t>
      </w:r>
      <w:r w:rsidR="00146F18">
        <w:t xml:space="preserve"> v okolí Hradu byla pravděpodobně důvodem k četnější výstavbě než v jiných državách. Výrazným prvkem nově budovaných zahrad se stal v roce 1538 letohrádek v čistě renesančním stylu. Stavěn byl pravděpodobně podle návrhů architekta Paolo della Stelly, jež je také autorem vzácných reliéfů nad arkádami.</w:t>
      </w:r>
      <w:r w:rsidR="008B6B20">
        <w:t xml:space="preserve"> Tohoto významného dvorního architekta nahradil po jeho smrti Bonifác Wolmut, autor například svatovítské kruchty.</w:t>
      </w:r>
      <w:r w:rsidR="008B6B20">
        <w:rPr>
          <w:rStyle w:val="Znakapoznpodarou"/>
        </w:rPr>
        <w:footnoteReference w:id="4"/>
      </w:r>
      <w:r w:rsidR="008B6B20">
        <w:t xml:space="preserve"> Rozsáhlé plány byly </w:t>
      </w:r>
      <w:r w:rsidR="00E17719">
        <w:t>zbrzděny</w:t>
      </w:r>
      <w:r w:rsidR="008B6B20">
        <w:t xml:space="preserve"> v roce 1541 velkým požárem na Malé </w:t>
      </w:r>
      <w:r w:rsidR="00721F75">
        <w:t>S</w:t>
      </w:r>
      <w:r w:rsidR="008B6B20">
        <w:t xml:space="preserve">traně a Hradčanech. Některé jím zapříčiněné škody </w:t>
      </w:r>
      <w:r w:rsidR="00D34EBF">
        <w:t>byly napraveny až za Rudolfa II.</w:t>
      </w:r>
    </w:p>
    <w:p w14:paraId="6818806F" w14:textId="0404D3FD" w:rsidR="00785B2B" w:rsidRDefault="00D34EBF" w:rsidP="00AC51EC">
      <w:pPr>
        <w:spacing w:line="276" w:lineRule="auto"/>
        <w:ind w:firstLine="708"/>
        <w:jc w:val="both"/>
      </w:pPr>
      <w:r>
        <w:t xml:space="preserve">V roce 1547 byla obsazena pozice místodržícího </w:t>
      </w:r>
      <w:r w:rsidR="00721F75">
        <w:t>č</w:t>
      </w:r>
      <w:r>
        <w:t xml:space="preserve">eských </w:t>
      </w:r>
      <w:r w:rsidR="0050159B">
        <w:t>zemí,</w:t>
      </w:r>
      <w:r>
        <w:t xml:space="preserve"> a to Ferdinandovým druhorozeným synem Ferdinandem II. Tyrolským. Ten v otcově stavebních plánech směle pokračoval. Ostatně disponoval k tomu značnými financemi od svého otce. Ty měly sloužit právě k pokračování staveb, jež měly plnit opět onen legitimizační charakter. Tím</w:t>
      </w:r>
      <w:r w:rsidR="00721F75">
        <w:t>,</w:t>
      </w:r>
      <w:r>
        <w:t xml:space="preserve"> že byl Ferdinand II. ještě mladý a navíc </w:t>
      </w:r>
      <w:r>
        <w:lastRenderedPageBreak/>
        <w:t>„pouze“ místodržící, nikoliv panovník, si musel respekt místní</w:t>
      </w:r>
      <w:r w:rsidR="00721F75">
        <w:t xml:space="preserve">ch společenských elit </w:t>
      </w:r>
      <w:r>
        <w:t>vydobývat obzvlášť.</w:t>
      </w:r>
      <w:r w:rsidR="000E5E92">
        <w:rPr>
          <w:rStyle w:val="Znakapoznpodarou"/>
        </w:rPr>
        <w:footnoteReference w:id="5"/>
      </w:r>
      <w:r w:rsidR="00EE4A88">
        <w:t xml:space="preserve"> </w:t>
      </w:r>
      <w:r w:rsidR="009637ED">
        <w:t>Ferdinand II. tedy pokračoval ve stavebních úpravách svého otce například v </w:t>
      </w:r>
      <w:r w:rsidR="00E17719">
        <w:t>zahradách</w:t>
      </w:r>
      <w:r w:rsidR="009637ED">
        <w:t xml:space="preserve"> u králo</w:t>
      </w:r>
      <w:r w:rsidR="00E17719">
        <w:t>vs</w:t>
      </w:r>
      <w:r w:rsidR="009637ED">
        <w:t>kého letohrádku.</w:t>
      </w:r>
      <w:r w:rsidR="006B69BC">
        <w:t xml:space="preserve"> Zároveň navazoval na restaurační projekty po požáru v roce 1541 a </w:t>
      </w:r>
      <w:r w:rsidR="00EE4A88">
        <w:t xml:space="preserve">na </w:t>
      </w:r>
      <w:r w:rsidR="006B69BC">
        <w:t>modernizování Hradu pro stál</w:t>
      </w:r>
      <w:r w:rsidR="00721F75">
        <w:t>é</w:t>
      </w:r>
      <w:r w:rsidR="006B69BC">
        <w:t xml:space="preserve"> pobývání. Interiéry Hradu se navíc pokoušel zkrášlovat malířskými a sochařskými pracemi. Jako příklad může sloužit výmalba varhan ve svatovítské katedrále</w:t>
      </w:r>
      <w:r w:rsidR="00721F75">
        <w:t>,</w:t>
      </w:r>
      <w:r w:rsidR="00721F75" w:rsidRPr="00721F75">
        <w:t xml:space="preserve"> </w:t>
      </w:r>
      <w:r w:rsidR="00721F75">
        <w:t>dnes již bohužel nedochovan</w:t>
      </w:r>
      <w:r w:rsidR="00721F75">
        <w:t>ých</w:t>
      </w:r>
      <w:r w:rsidR="006B69BC">
        <w:t>.</w:t>
      </w:r>
      <w:r w:rsidR="006B69BC">
        <w:rPr>
          <w:rStyle w:val="Znakapoznpodarou"/>
        </w:rPr>
        <w:footnoteReference w:id="6"/>
      </w:r>
      <w:r w:rsidR="009637ED">
        <w:t xml:space="preserve"> </w:t>
      </w:r>
      <w:r w:rsidR="00E17719">
        <w:t>Nejvýznamnějším</w:t>
      </w:r>
      <w:r w:rsidR="009637ED">
        <w:t xml:space="preserve"> počinem arcivévody však byla zcela autonomní stavba letohrádku </w:t>
      </w:r>
      <w:r w:rsidR="00E17719">
        <w:t>Hvězda</w:t>
      </w:r>
      <w:r w:rsidR="009637ED">
        <w:t xml:space="preserve">, jehož ideu načrtl pravděpodobně on sám. Hvězda byla zbudována mnohem </w:t>
      </w:r>
      <w:r w:rsidR="00E17719">
        <w:t>rychleji</w:t>
      </w:r>
      <w:r w:rsidR="009637ED">
        <w:t xml:space="preserve">, než </w:t>
      </w:r>
      <w:r w:rsidR="00E17719">
        <w:t>královský</w:t>
      </w:r>
      <w:r w:rsidR="009637ED">
        <w:t xml:space="preserve"> letohrádek (1556-1558) a jedná se o naprostý unikát. Nejenže je originální svým hvězdovitým (a renesančně geometricky přesným) půdorysem, ale jeho vnitřní výzdoba je hodnotná </w:t>
      </w:r>
      <w:r w:rsidR="00EE4A88">
        <w:t>zcela</w:t>
      </w:r>
      <w:r w:rsidR="009637ED">
        <w:t xml:space="preserve"> rovnocenně. Hlavním prvkem interiéru je štuková výzdoba, jež </w:t>
      </w:r>
      <w:r w:rsidR="00721F75">
        <w:t>vznikla</w:t>
      </w:r>
      <w:r w:rsidR="009637ED">
        <w:t xml:space="preserve"> </w:t>
      </w:r>
      <w:r w:rsidR="00721F75">
        <w:t>kolem roku</w:t>
      </w:r>
      <w:r w:rsidR="009637ED">
        <w:t xml:space="preserve"> 1560.</w:t>
      </w:r>
      <w:r w:rsidR="00097E91">
        <w:rPr>
          <w:rStyle w:val="Znakapoznpodarou"/>
        </w:rPr>
        <w:footnoteReference w:id="7"/>
      </w:r>
    </w:p>
    <w:p w14:paraId="5493F05F" w14:textId="320593B0" w:rsidR="00BF3FE9" w:rsidRDefault="00BF3FE9" w:rsidP="00AC51EC">
      <w:pPr>
        <w:spacing w:line="276" w:lineRule="auto"/>
        <w:ind w:firstLine="708"/>
        <w:jc w:val="both"/>
        <w:rPr>
          <w:color w:val="000000"/>
        </w:rPr>
      </w:pPr>
      <w:r>
        <w:t>V roce 156</w:t>
      </w:r>
      <w:r w:rsidR="00721F75">
        <w:t>4</w:t>
      </w:r>
      <w:r>
        <w:t xml:space="preserve"> nastoupil na </w:t>
      </w:r>
      <w:r w:rsidR="000E5E92">
        <w:t xml:space="preserve">český </w:t>
      </w:r>
      <w:r>
        <w:t>trůn nejstarší syn Ferdinanda I. Maxmilián II. Ten na rozdíl od svého mladšího bratra v</w:t>
      </w:r>
      <w:r w:rsidR="00721F75">
        <w:t> </w:t>
      </w:r>
      <w:r>
        <w:t>Praze</w:t>
      </w:r>
      <w:r w:rsidR="00721F75">
        <w:t xml:space="preserve"> </w:t>
      </w:r>
      <w:r>
        <w:t xml:space="preserve">trvale nepobýval, což se také odrazilo na výraznosti jeho stavebních úprav. Nebyly sice tak </w:t>
      </w:r>
      <w:r w:rsidR="00EE4A88">
        <w:t>veliké</w:t>
      </w:r>
      <w:r>
        <w:t>, ale pokračovaly již v jakési tradici jeho předchůdců. Dostavby se například dočkala Malá a Velká Míčovna</w:t>
      </w:r>
      <w:r w:rsidR="000E5E92">
        <w:t xml:space="preserve">. Mimo ně došlo také </w:t>
      </w:r>
      <w:r w:rsidR="006C00AA">
        <w:t>k rozvinutí zahrad v botanickém směru – panovník je obohatil novými druhy rostlin ze svých cest.</w:t>
      </w:r>
      <w:r w:rsidR="006C00AA">
        <w:rPr>
          <w:rStyle w:val="Znakapoznpodarou"/>
        </w:rPr>
        <w:footnoteReference w:id="8"/>
      </w:r>
      <w:r w:rsidR="00495FF0">
        <w:t xml:space="preserve"> Ačkoliv architektonických změn vláda Maxmiliána nepřinesla tolik, jako vláda jeho předchůdců, či následovníka Rudolfa, bylo by nepatřičné domnívat se, že </w:t>
      </w:r>
      <w:r w:rsidR="00E17719">
        <w:t>pražský</w:t>
      </w:r>
      <w:r w:rsidR="00495FF0">
        <w:t xml:space="preserve"> dvůr uvadal. Naopak, žil velmi květnatý </w:t>
      </w:r>
      <w:r w:rsidR="00E17719">
        <w:t>kulturní</w:t>
      </w:r>
      <w:r w:rsidR="00495FF0">
        <w:t xml:space="preserve"> </w:t>
      </w:r>
      <w:r w:rsidR="0050159B">
        <w:t>život,</w:t>
      </w:r>
      <w:r w:rsidR="00495FF0">
        <w:t xml:space="preserve"> jehož ukázkou může být nástin masopustních oslav organizovaných známým manýristickým malířem </w:t>
      </w:r>
      <w:r w:rsidR="00E17719">
        <w:t>Giuseppe</w:t>
      </w:r>
      <w:r w:rsidR="006B50D7">
        <w:t>m</w:t>
      </w:r>
      <w:r w:rsidR="00495FF0">
        <w:t xml:space="preserve"> Arcimboldo: „</w:t>
      </w:r>
      <w:r w:rsidR="00495FF0">
        <w:rPr>
          <w:color w:val="000000"/>
        </w:rPr>
        <w:t>O masopustě v roce 1570 uspořádal Maxmilián II. v Praze velkolepou podívanou, na které kromě bohaté dekorace nechyběl ani živý slon. Staroměstskému náměstí vévodila Etna, která chrlila oheň a kameny. Kostýmovaný průvod, vycházející z jeskyně, představoval různé hrdiny antické mytologie a historie. Na Pegasu jel Perseus s hlavou Medúzy, koně přestrojení za draky táhli vůz s Medeou a Jasonem, byl tam také Theseus, Argus a Furie na če</w:t>
      </w:r>
      <w:r w:rsidR="00E17719">
        <w:rPr>
          <w:color w:val="000000"/>
        </w:rPr>
        <w:t>rn</w:t>
      </w:r>
      <w:r w:rsidR="00495FF0">
        <w:rPr>
          <w:color w:val="000000"/>
        </w:rPr>
        <w:t>ých koních. Král Porus jedoucí na slonu poručil zvířeti, aby pokleklo před císařským párem. V průvodu se objevila Vlasta se svou dívčí družinou i král Artuš s rytíři. Čaroděj Zifreo na šestinohém draku vykouzlil císaři poklepáním na Etnu další postavy, selskou svatbu s komicky oblečenými vesničany, královnu ze Sáby, husary s turnajovou kratochvílí, myslivce s živým supem a zajícem. Na konci průvodu s</w:t>
      </w:r>
      <w:r w:rsidR="00E17719">
        <w:rPr>
          <w:color w:val="000000"/>
        </w:rPr>
        <w:t>e</w:t>
      </w:r>
      <w:r w:rsidR="00495FF0">
        <w:rPr>
          <w:color w:val="000000"/>
        </w:rPr>
        <w:t xml:space="preserve"> objevil sám scénograf, malíř Arcimboldo, v černém hávu s černou bradou.“</w:t>
      </w:r>
      <w:r w:rsidR="00495FF0">
        <w:rPr>
          <w:rStyle w:val="Znakapoznpodarou"/>
          <w:color w:val="000000"/>
        </w:rPr>
        <w:footnoteReference w:id="9"/>
      </w:r>
    </w:p>
    <w:p w14:paraId="12B2E75C" w14:textId="2E194FD7" w:rsidR="00EE4B8D" w:rsidRDefault="00EE4B8D" w:rsidP="005100A5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Výrazné zásahy do vzhledu Pražského hradu se udály také za Rudolfa II.</w:t>
      </w:r>
      <w:r w:rsidR="003E76F7">
        <w:rPr>
          <w:color w:val="000000"/>
        </w:rPr>
        <w:t xml:space="preserve"> je</w:t>
      </w:r>
      <w:r w:rsidR="00721F75">
        <w:rPr>
          <w:color w:val="000000"/>
        </w:rPr>
        <w:t>n</w:t>
      </w:r>
      <w:r w:rsidR="003E76F7">
        <w:rPr>
          <w:color w:val="000000"/>
        </w:rPr>
        <w:t xml:space="preserve">ž na český trůn </w:t>
      </w:r>
      <w:r w:rsidR="00E17719">
        <w:rPr>
          <w:color w:val="000000"/>
        </w:rPr>
        <w:t>dosedl</w:t>
      </w:r>
      <w:r w:rsidR="003E76F7">
        <w:rPr>
          <w:color w:val="000000"/>
        </w:rPr>
        <w:t xml:space="preserve"> v roce 1576, tedy již po padesáti letech habsburského panování a s ním spojeným zvelebováním a zkulturňováním Prahy. Jak bylo zmíněno v úvodu, podstatnou část na rozvoji architektury nesly šlechtické rody a nejinak tomu bylo i v Praze a jejím okolí. Příkladů je opravdu požehnaně – Martinický palác, jež byl v roce 1580 </w:t>
      </w:r>
      <w:r w:rsidR="00F814B6">
        <w:rPr>
          <w:color w:val="000000"/>
        </w:rPr>
        <w:t>J</w:t>
      </w:r>
      <w:r w:rsidR="003E76F7">
        <w:rPr>
          <w:color w:val="000000"/>
        </w:rPr>
        <w:t>iřím Bořitou z Martinic přestavěn do renesanční podoby;</w:t>
      </w:r>
      <w:r w:rsidR="00D2335A">
        <w:rPr>
          <w:rStyle w:val="Znakapoznpodarou"/>
          <w:color w:val="000000"/>
        </w:rPr>
        <w:footnoteReference w:id="10"/>
      </w:r>
      <w:r w:rsidR="003E76F7">
        <w:rPr>
          <w:color w:val="000000"/>
        </w:rPr>
        <w:t xml:space="preserve"> v roce 1572 se do rukou Smiřických dostal dnešní Smiřický palác na Malé </w:t>
      </w:r>
      <w:r w:rsidR="00721F75">
        <w:rPr>
          <w:color w:val="000000"/>
        </w:rPr>
        <w:t>S</w:t>
      </w:r>
      <w:r w:rsidR="003E76F7">
        <w:rPr>
          <w:color w:val="000000"/>
        </w:rPr>
        <w:t>traně</w:t>
      </w:r>
      <w:r w:rsidR="00721F75">
        <w:rPr>
          <w:color w:val="000000"/>
        </w:rPr>
        <w:t>,</w:t>
      </w:r>
      <w:r w:rsidR="003E76F7">
        <w:rPr>
          <w:color w:val="000000"/>
        </w:rPr>
        <w:t xml:space="preserve"> jehož přestavba následovala vzápětí</w:t>
      </w:r>
      <w:r w:rsidR="00331E43">
        <w:rPr>
          <w:color w:val="000000"/>
        </w:rPr>
        <w:t>;</w:t>
      </w:r>
      <w:r w:rsidR="00D2335A">
        <w:rPr>
          <w:rStyle w:val="Znakapoznpodarou"/>
          <w:color w:val="000000"/>
        </w:rPr>
        <w:footnoteReference w:id="11"/>
      </w:r>
      <w:r w:rsidR="00331E43">
        <w:rPr>
          <w:color w:val="000000"/>
        </w:rPr>
        <w:t xml:space="preserve"> </w:t>
      </w:r>
      <w:r w:rsidR="00331E43">
        <w:rPr>
          <w:color w:val="000000"/>
        </w:rPr>
        <w:lastRenderedPageBreak/>
        <w:t>ve 40. letech 16. století se dočkal renesanční přestavby také</w:t>
      </w:r>
      <w:r w:rsidR="00D2335A">
        <w:rPr>
          <w:color w:val="000000"/>
        </w:rPr>
        <w:t xml:space="preserve"> sousední</w:t>
      </w:r>
      <w:r w:rsidR="00331E43">
        <w:rPr>
          <w:color w:val="000000"/>
        </w:rPr>
        <w:t xml:space="preserve"> </w:t>
      </w:r>
      <w:r w:rsidR="00721F75">
        <w:rPr>
          <w:color w:val="000000"/>
        </w:rPr>
        <w:t>d</w:t>
      </w:r>
      <w:r w:rsidR="00331E43">
        <w:rPr>
          <w:color w:val="000000"/>
        </w:rPr>
        <w:t>ům zv</w:t>
      </w:r>
      <w:r w:rsidR="00721F75">
        <w:rPr>
          <w:color w:val="000000"/>
        </w:rPr>
        <w:t>aný</w:t>
      </w:r>
      <w:r w:rsidR="00331E43">
        <w:rPr>
          <w:color w:val="000000"/>
        </w:rPr>
        <w:t xml:space="preserve"> Lázeň;</w:t>
      </w:r>
      <w:r w:rsidR="00D2335A">
        <w:rPr>
          <w:rStyle w:val="Znakapoznpodarou"/>
          <w:color w:val="000000"/>
        </w:rPr>
        <w:footnoteReference w:id="12"/>
      </w:r>
      <w:r w:rsidR="00331E43">
        <w:rPr>
          <w:color w:val="000000"/>
        </w:rPr>
        <w:t xml:space="preserve"> v 60. letech prošel dostavbou dům U Minuty na </w:t>
      </w:r>
      <w:r w:rsidR="00E17719">
        <w:rPr>
          <w:color w:val="000000"/>
        </w:rPr>
        <w:t>Staroměstském</w:t>
      </w:r>
      <w:r w:rsidR="00331E43">
        <w:rPr>
          <w:color w:val="000000"/>
        </w:rPr>
        <w:t xml:space="preserve"> náměstí, kterému byla hned zpočátku následujícího století poskytnuta jeho jedinečná</w:t>
      </w:r>
      <w:r w:rsidR="006B50D7">
        <w:rPr>
          <w:color w:val="000000"/>
        </w:rPr>
        <w:t xml:space="preserve"> sgrafitová</w:t>
      </w:r>
      <w:r w:rsidR="00331E43">
        <w:rPr>
          <w:color w:val="000000"/>
        </w:rPr>
        <w:t xml:space="preserve"> výzdoba.</w:t>
      </w:r>
      <w:r w:rsidR="00D2335A">
        <w:rPr>
          <w:rStyle w:val="Znakapoznpodarou"/>
          <w:color w:val="000000"/>
        </w:rPr>
        <w:footnoteReference w:id="13"/>
      </w:r>
      <w:r w:rsidR="00F814B6">
        <w:rPr>
          <w:color w:val="000000"/>
        </w:rPr>
        <w:t xml:space="preserve"> Jak se tedy ukazuje, prožívalo centrum </w:t>
      </w:r>
      <w:r w:rsidR="005100A5">
        <w:rPr>
          <w:color w:val="000000"/>
        </w:rPr>
        <w:t>č</w:t>
      </w:r>
      <w:r w:rsidR="00F814B6">
        <w:rPr>
          <w:color w:val="000000"/>
        </w:rPr>
        <w:t>eských zemí opravdový rozkvět a ani nově nastoupivší panovník, jenž navíc své sídlo přesunul právě do Prahy nemohl s výstavbou na Hradě zůstat pozadu. Pod Rudolfovou vládou se podařilo dokončit řadu oprav ještě z dob požáru v roce 1541</w:t>
      </w:r>
      <w:r w:rsidR="00D2335A">
        <w:rPr>
          <w:color w:val="000000"/>
        </w:rPr>
        <w:t xml:space="preserve">, například portál do kostela </w:t>
      </w:r>
      <w:r w:rsidR="00E17719">
        <w:rPr>
          <w:color w:val="000000"/>
        </w:rPr>
        <w:t>Všech</w:t>
      </w:r>
      <w:r w:rsidR="00D2335A">
        <w:rPr>
          <w:color w:val="000000"/>
        </w:rPr>
        <w:t xml:space="preserve"> svatých na třetím nádvoří. Mezi obdobné dílčí úpravy patřilo probourání průchodu ze stejného kostela do sousedního </w:t>
      </w:r>
      <w:r w:rsidR="00E17719">
        <w:rPr>
          <w:color w:val="000000"/>
        </w:rPr>
        <w:t>Vladislavského</w:t>
      </w:r>
      <w:r w:rsidR="00D2335A">
        <w:rPr>
          <w:color w:val="000000"/>
        </w:rPr>
        <w:t xml:space="preserve"> sálu.</w:t>
      </w:r>
      <w:r w:rsidR="008D347E">
        <w:rPr>
          <w:color w:val="000000"/>
        </w:rPr>
        <w:t xml:space="preserve"> </w:t>
      </w:r>
      <w:r w:rsidR="00890603">
        <w:rPr>
          <w:color w:val="000000"/>
        </w:rPr>
        <w:t xml:space="preserve">Za Rudolfovy vlády se </w:t>
      </w:r>
      <w:r w:rsidR="005100A5">
        <w:rPr>
          <w:color w:val="000000"/>
        </w:rPr>
        <w:t>ale</w:t>
      </w:r>
      <w:r w:rsidR="00890603">
        <w:rPr>
          <w:color w:val="000000"/>
        </w:rPr>
        <w:t xml:space="preserve"> podnikla i řada větších úprav, které se zachovaly do současnosti</w:t>
      </w:r>
      <w:r w:rsidR="005100A5">
        <w:rPr>
          <w:color w:val="000000"/>
        </w:rPr>
        <w:t>, p</w:t>
      </w:r>
      <w:r w:rsidR="005100A5" w:rsidRPr="005100A5">
        <w:rPr>
          <w:color w:val="000000"/>
        </w:rPr>
        <w:t>odoba některých z nich je však</w:t>
      </w:r>
      <w:r w:rsidR="005100A5">
        <w:rPr>
          <w:color w:val="000000"/>
        </w:rPr>
        <w:t xml:space="preserve"> </w:t>
      </w:r>
      <w:r w:rsidR="005100A5" w:rsidRPr="005100A5">
        <w:rPr>
          <w:color w:val="000000"/>
        </w:rPr>
        <w:t>známa jen</w:t>
      </w:r>
      <w:r w:rsidR="005100A5">
        <w:rPr>
          <w:color w:val="000000"/>
        </w:rPr>
        <w:t xml:space="preserve"> </w:t>
      </w:r>
      <w:r w:rsidR="005100A5" w:rsidRPr="005100A5">
        <w:rPr>
          <w:color w:val="000000"/>
        </w:rPr>
        <w:t>z písemných a obrazových materiálů. Patří k nim i</w:t>
      </w:r>
      <w:r w:rsidR="005100A5">
        <w:rPr>
          <w:color w:val="000000"/>
        </w:rPr>
        <w:t xml:space="preserve"> </w:t>
      </w:r>
      <w:r w:rsidR="005100A5" w:rsidRPr="005100A5">
        <w:rPr>
          <w:color w:val="000000"/>
        </w:rPr>
        <w:t>kaple sv.</w:t>
      </w:r>
      <w:r w:rsidR="005100A5">
        <w:rPr>
          <w:color w:val="000000"/>
        </w:rPr>
        <w:t xml:space="preserve"> </w:t>
      </w:r>
      <w:r w:rsidR="005100A5" w:rsidRPr="005100A5">
        <w:rPr>
          <w:color w:val="000000"/>
        </w:rPr>
        <w:t>Vojtěcha, která</w:t>
      </w:r>
      <w:r w:rsidR="005100A5">
        <w:rPr>
          <w:color w:val="000000"/>
        </w:rPr>
        <w:t xml:space="preserve"> </w:t>
      </w:r>
      <w:r w:rsidR="00890603">
        <w:rPr>
          <w:color w:val="000000"/>
        </w:rPr>
        <w:t>musela v 19. století ustoupit dostavbě katedrál</w:t>
      </w:r>
      <w:r w:rsidR="00E17719">
        <w:rPr>
          <w:color w:val="000000"/>
        </w:rPr>
        <w:t>y</w:t>
      </w:r>
      <w:r w:rsidR="00890603">
        <w:rPr>
          <w:color w:val="000000"/>
        </w:rPr>
        <w:t>. Výrazným zásah</w:t>
      </w:r>
      <w:r w:rsidR="005100A5">
        <w:rPr>
          <w:color w:val="000000"/>
        </w:rPr>
        <w:t>em</w:t>
      </w:r>
      <w:r w:rsidR="00890603">
        <w:rPr>
          <w:color w:val="000000"/>
        </w:rPr>
        <w:t xml:space="preserve"> byla stavba dvoupatrových koníren v severní části areálu navazujícím na Jelení příkop, do </w:t>
      </w:r>
      <w:r w:rsidR="00E17719">
        <w:rPr>
          <w:color w:val="000000"/>
        </w:rPr>
        <w:t>ně</w:t>
      </w:r>
      <w:r w:rsidR="005100A5">
        <w:rPr>
          <w:color w:val="000000"/>
        </w:rPr>
        <w:t>hož</w:t>
      </w:r>
      <w:r w:rsidR="00890603">
        <w:rPr>
          <w:color w:val="000000"/>
        </w:rPr>
        <w:t xml:space="preserve"> byl ze spodního patra koníren přístup.</w:t>
      </w:r>
      <w:r w:rsidR="004062CE">
        <w:rPr>
          <w:color w:val="000000"/>
        </w:rPr>
        <w:t xml:space="preserve"> Další výrazný prvek se nacházel dál směrem od Hradu za Jelením příkopem – Lví dvůr. Přímo v hradním areálu vznikly dva zásadní výstavní prostory výrazně zdobené </w:t>
      </w:r>
      <w:r w:rsidR="00E17719">
        <w:rPr>
          <w:color w:val="000000"/>
        </w:rPr>
        <w:t>štukatérskou</w:t>
      </w:r>
      <w:r w:rsidR="004062CE">
        <w:rPr>
          <w:color w:val="000000"/>
        </w:rPr>
        <w:t xml:space="preserve"> prací. První</w:t>
      </w:r>
      <w:r w:rsidR="005100A5">
        <w:rPr>
          <w:color w:val="000000"/>
        </w:rPr>
        <w:t>,</w:t>
      </w:r>
      <w:r w:rsidR="004062CE">
        <w:rPr>
          <w:color w:val="000000"/>
        </w:rPr>
        <w:t xml:space="preserve"> tzv. Rudolfova galerie na </w:t>
      </w:r>
      <w:r w:rsidR="005100A5">
        <w:rPr>
          <w:color w:val="000000"/>
        </w:rPr>
        <w:t>P</w:t>
      </w:r>
      <w:r w:rsidR="004062CE">
        <w:rPr>
          <w:color w:val="000000"/>
        </w:rPr>
        <w:t xml:space="preserve">ražském hradě, která sloužila k vystavování </w:t>
      </w:r>
      <w:r w:rsidR="00E21936">
        <w:rPr>
          <w:color w:val="000000"/>
        </w:rPr>
        <w:t xml:space="preserve">sbírek Rudolfových obrazů a </w:t>
      </w:r>
      <w:r w:rsidR="005100A5">
        <w:rPr>
          <w:color w:val="000000"/>
        </w:rPr>
        <w:t>d</w:t>
      </w:r>
      <w:r w:rsidR="00E21936">
        <w:rPr>
          <w:color w:val="000000"/>
        </w:rPr>
        <w:t>ruhá, je</w:t>
      </w:r>
      <w:r w:rsidR="005100A5">
        <w:rPr>
          <w:color w:val="000000"/>
        </w:rPr>
        <w:t>n</w:t>
      </w:r>
      <w:r w:rsidR="00E21936">
        <w:rPr>
          <w:color w:val="000000"/>
        </w:rPr>
        <w:t>ž byla vytvořena po vzoru první – Španělský sál, jež byl násobně větší a měl sloužit k výstavě Rudolfových soch.</w:t>
      </w:r>
      <w:r w:rsidR="0056123A">
        <w:rPr>
          <w:color w:val="000000"/>
        </w:rPr>
        <w:t xml:space="preserve"> Jakousi pomyslnou tečkou za Rudolfovými úpravami by mohla být Matyášova brána, která sice nese jméno jeho následovníka, nicméně počátek stavby spadá ještě do vlády Rudolfovy.</w:t>
      </w:r>
      <w:r w:rsidR="008D347E">
        <w:rPr>
          <w:rStyle w:val="Znakapoznpodarou"/>
          <w:color w:val="000000"/>
        </w:rPr>
        <w:footnoteReference w:id="14"/>
      </w:r>
    </w:p>
    <w:p w14:paraId="505264CF" w14:textId="3A2B983D" w:rsidR="006B50D7" w:rsidRDefault="0035358C" w:rsidP="00AC51EC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Jak se ukazuje, první Habsburkové na českém trůně vtiskli </w:t>
      </w:r>
      <w:r w:rsidR="005100A5">
        <w:rPr>
          <w:color w:val="000000"/>
        </w:rPr>
        <w:t>P</w:t>
      </w:r>
      <w:r>
        <w:rPr>
          <w:color w:val="000000"/>
        </w:rPr>
        <w:t xml:space="preserve">ražskému </w:t>
      </w:r>
      <w:r w:rsidR="005100A5">
        <w:rPr>
          <w:color w:val="000000"/>
        </w:rPr>
        <w:t>h</w:t>
      </w:r>
      <w:r>
        <w:rPr>
          <w:color w:val="000000"/>
        </w:rPr>
        <w:t xml:space="preserve">radu podobu, jakou si do </w:t>
      </w:r>
      <w:r w:rsidR="005100A5">
        <w:rPr>
          <w:color w:val="000000"/>
        </w:rPr>
        <w:t>určité</w:t>
      </w:r>
      <w:r>
        <w:rPr>
          <w:color w:val="000000"/>
        </w:rPr>
        <w:t xml:space="preserve"> míry uchoval dodnes</w:t>
      </w:r>
      <w:r w:rsidR="005100A5">
        <w:rPr>
          <w:color w:val="000000"/>
        </w:rPr>
        <w:t xml:space="preserve"> (ačkoliv výstavba v době Marie Terezie přinesla další výrazné změny)</w:t>
      </w:r>
      <w:r w:rsidR="008D347E">
        <w:rPr>
          <w:color w:val="000000"/>
        </w:rPr>
        <w:t xml:space="preserve">. Počínaje prací Ferdinanda I. a Ferdinanda II. v hradních zahradách a konče Rudolfovými výraznými zásahy do centra areálu. </w:t>
      </w:r>
      <w:r w:rsidR="001F7243">
        <w:rPr>
          <w:color w:val="000000"/>
        </w:rPr>
        <w:t>Ty nejsou omezeny pouze na výčet proměn zmíněných v předchozím odstavci, ale týkají se i dalších úprav jako například vzniku</w:t>
      </w:r>
      <w:r w:rsidR="008D347E">
        <w:rPr>
          <w:color w:val="000000"/>
        </w:rPr>
        <w:t xml:space="preserve"> pověstn</w:t>
      </w:r>
      <w:r w:rsidR="001F7243">
        <w:rPr>
          <w:color w:val="000000"/>
        </w:rPr>
        <w:t>é</w:t>
      </w:r>
      <w:r w:rsidR="008D347E">
        <w:rPr>
          <w:color w:val="000000"/>
        </w:rPr>
        <w:t xml:space="preserve"> Zlat</w:t>
      </w:r>
      <w:r w:rsidR="001F7243">
        <w:rPr>
          <w:color w:val="000000"/>
        </w:rPr>
        <w:t>é</w:t>
      </w:r>
      <w:r w:rsidR="008D347E">
        <w:rPr>
          <w:color w:val="000000"/>
        </w:rPr>
        <w:t xml:space="preserve"> uličk</w:t>
      </w:r>
      <w:r w:rsidR="001F7243">
        <w:rPr>
          <w:color w:val="000000"/>
        </w:rPr>
        <w:t>y</w:t>
      </w:r>
      <w:r w:rsidR="008D347E">
        <w:rPr>
          <w:color w:val="000000"/>
        </w:rPr>
        <w:t>, j</w:t>
      </w:r>
      <w:r w:rsidR="005100A5">
        <w:rPr>
          <w:color w:val="000000"/>
        </w:rPr>
        <w:t>í</w:t>
      </w:r>
      <w:r w:rsidR="008D347E">
        <w:rPr>
          <w:color w:val="000000"/>
        </w:rPr>
        <w:t>ž sice nenechal vystavět, nicméně</w:t>
      </w:r>
      <w:r w:rsidR="001F7243">
        <w:rPr>
          <w:color w:val="000000"/>
        </w:rPr>
        <w:t xml:space="preserve"> která</w:t>
      </w:r>
      <w:r w:rsidR="008D347E">
        <w:rPr>
          <w:color w:val="000000"/>
        </w:rPr>
        <w:t xml:space="preserve"> vznikla právě z jeho iniciativy, když prostor vznikl</w:t>
      </w:r>
      <w:r w:rsidR="005100A5">
        <w:rPr>
          <w:color w:val="000000"/>
        </w:rPr>
        <w:t>ý</w:t>
      </w:r>
      <w:r w:rsidR="008D347E">
        <w:rPr>
          <w:color w:val="000000"/>
        </w:rPr>
        <w:t xml:space="preserve"> odsunutím chudiny nabídl hradním střelcům pro své domovy.</w:t>
      </w:r>
      <w:r w:rsidR="001F7243">
        <w:rPr>
          <w:rStyle w:val="Znakapoznpodarou"/>
          <w:color w:val="000000"/>
        </w:rPr>
        <w:footnoteReference w:id="15"/>
      </w:r>
      <w:r w:rsidR="008D347E">
        <w:rPr>
          <w:color w:val="000000"/>
        </w:rPr>
        <w:t xml:space="preserve"> </w:t>
      </w:r>
      <w:r w:rsidR="001F7243">
        <w:rPr>
          <w:color w:val="000000"/>
        </w:rPr>
        <w:t>Když se tedy zaměříme na vládu prvních Habsburků pouze optikou jejich podílu na výstavbě doprovázené zkulturněním celé oblasti, dojdeme primárně k pozitivním závěrům.</w:t>
      </w:r>
    </w:p>
    <w:p w14:paraId="74453F0D" w14:textId="77777777" w:rsidR="006B50D7" w:rsidRDefault="006B50D7" w:rsidP="00AC51EC">
      <w:pPr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14:paraId="23DCAABC" w14:textId="672EE002" w:rsidR="006B50D7" w:rsidRDefault="006B50D7" w:rsidP="00AC51EC">
      <w:pPr>
        <w:jc w:val="both"/>
        <w:rPr>
          <w:b/>
          <w:bCs/>
          <w:color w:val="000000"/>
          <w:sz w:val="24"/>
          <w:szCs w:val="24"/>
        </w:rPr>
      </w:pPr>
      <w:r w:rsidRPr="006B50D7">
        <w:rPr>
          <w:b/>
          <w:bCs/>
          <w:color w:val="000000"/>
          <w:sz w:val="24"/>
          <w:szCs w:val="24"/>
        </w:rPr>
        <w:lastRenderedPageBreak/>
        <w:t>Zdroje</w:t>
      </w:r>
    </w:p>
    <w:p w14:paraId="234E6C21" w14:textId="77777777" w:rsidR="00AC51EC" w:rsidRDefault="00AC51EC" w:rsidP="00AC51EC">
      <w:pPr>
        <w:jc w:val="both"/>
      </w:pPr>
    </w:p>
    <w:p w14:paraId="481DFF0C" w14:textId="5A7DF2B9" w:rsidR="00AC51EC" w:rsidRDefault="00AC51EC" w:rsidP="00AC51EC">
      <w:pPr>
        <w:jc w:val="both"/>
      </w:pPr>
      <w:r>
        <w:t>DOBALOVÁ, Sylva, Ivan Prokop MUCHKA</w:t>
      </w:r>
      <w:r>
        <w:rPr>
          <w:i/>
          <w:iCs/>
        </w:rPr>
        <w:t xml:space="preserve">. Stavební projekty arcivévody Ferdinanda II. v Praze a Innsbrucku </w:t>
      </w:r>
      <w:r w:rsidRPr="00097E91">
        <w:t>I</w:t>
      </w:r>
      <w:r>
        <w:t xml:space="preserve">n: </w:t>
      </w:r>
      <w:r w:rsidRPr="00097E91">
        <w:t xml:space="preserve">KUBÍKOVÁ, Blanka, Jaroslava HAUSENBLASOVÁ a Sylva DOBALOVÁ, ed. </w:t>
      </w:r>
      <w:r w:rsidRPr="00097E91">
        <w:rPr>
          <w:i/>
          <w:iCs/>
        </w:rPr>
        <w:t xml:space="preserve">Ferdinand II.: arcivévoda Ferdinand II. </w:t>
      </w:r>
      <w:r w:rsidR="0050159B" w:rsidRPr="00097E91">
        <w:rPr>
          <w:i/>
          <w:iCs/>
        </w:rPr>
        <w:t>Habsburský:</w:t>
      </w:r>
      <w:r w:rsidRPr="00097E91">
        <w:rPr>
          <w:i/>
          <w:iCs/>
        </w:rPr>
        <w:t xml:space="preserve"> renesanční vladař a </w:t>
      </w:r>
      <w:r w:rsidR="0050159B" w:rsidRPr="00097E91">
        <w:rPr>
          <w:i/>
          <w:iCs/>
        </w:rPr>
        <w:t>mecenáš:</w:t>
      </w:r>
      <w:r w:rsidRPr="00097E91">
        <w:rPr>
          <w:i/>
          <w:iCs/>
        </w:rPr>
        <w:t xml:space="preserve"> mezi Prahou a </w:t>
      </w:r>
      <w:r w:rsidR="0050159B" w:rsidRPr="00097E91">
        <w:rPr>
          <w:i/>
          <w:iCs/>
        </w:rPr>
        <w:t>Innsbruckem:</w:t>
      </w:r>
      <w:r w:rsidRPr="00097E91">
        <w:rPr>
          <w:i/>
          <w:iCs/>
        </w:rPr>
        <w:t xml:space="preserve"> výstava Národní galerie v Praze a Kunsthistorisches Museum Wien ve spolupráci s Ústavem dějin umění Akademie věd České republiky, </w:t>
      </w:r>
      <w:r w:rsidR="0050159B" w:rsidRPr="00097E91">
        <w:rPr>
          <w:i/>
          <w:iCs/>
        </w:rPr>
        <w:t>v.v.i.:</w:t>
      </w:r>
      <w:r w:rsidRPr="00097E91">
        <w:rPr>
          <w:i/>
          <w:iCs/>
        </w:rPr>
        <w:t xml:space="preserve"> 3.11.2017-25.2.2018, Valdštejnská jízdárna</w:t>
      </w:r>
      <w:r w:rsidRPr="00097E91">
        <w:t>, Praha. V Praze: Národní galerie, 2017</w:t>
      </w:r>
    </w:p>
    <w:p w14:paraId="71958F5B" w14:textId="77777777" w:rsidR="00AC51EC" w:rsidRDefault="00AC51EC" w:rsidP="00AC51EC">
      <w:pPr>
        <w:jc w:val="both"/>
      </w:pPr>
    </w:p>
    <w:p w14:paraId="025A19BD" w14:textId="2DE2E8F5" w:rsidR="00AC51EC" w:rsidRDefault="00AC51EC" w:rsidP="00AC51EC">
      <w:pPr>
        <w:jc w:val="both"/>
      </w:pPr>
      <w:r w:rsidRPr="00D2335A">
        <w:t xml:space="preserve">FUČÍKOVÁ, Eliška. </w:t>
      </w:r>
      <w:r w:rsidRPr="00D2335A">
        <w:rPr>
          <w:i/>
          <w:iCs/>
        </w:rPr>
        <w:t>Praha rudolfínská</w:t>
      </w:r>
      <w:r w:rsidRPr="00D2335A">
        <w:t>. Praha: Karolinum, 2014.</w:t>
      </w:r>
      <w:r>
        <w:t xml:space="preserve"> s.</w:t>
      </w:r>
    </w:p>
    <w:p w14:paraId="750FD82A" w14:textId="77777777" w:rsidR="00AC51EC" w:rsidRDefault="00AC51EC" w:rsidP="00AC51EC">
      <w:pPr>
        <w:jc w:val="both"/>
      </w:pPr>
    </w:p>
    <w:p w14:paraId="559A29BF" w14:textId="177B2C65" w:rsidR="00AC51EC" w:rsidRDefault="00AC51EC" w:rsidP="00AC51EC">
      <w:pPr>
        <w:jc w:val="both"/>
      </w:pPr>
      <w:r>
        <w:t xml:space="preserve">FUČÍKOVÁ, Eliška. </w:t>
      </w:r>
      <w:r>
        <w:rPr>
          <w:i/>
          <w:iCs/>
        </w:rPr>
        <w:t xml:space="preserve">Pražský hrad a jeho výzdoba za arcivévody Ferdinanda </w:t>
      </w:r>
      <w:r w:rsidRPr="006B69BC">
        <w:rPr>
          <w:i/>
          <w:iCs/>
        </w:rPr>
        <w:t>II</w:t>
      </w:r>
      <w:r>
        <w:t xml:space="preserve">. </w:t>
      </w:r>
      <w:r w:rsidRPr="006B69BC">
        <w:t>In</w:t>
      </w:r>
      <w:r>
        <w:t xml:space="preserve">: </w:t>
      </w:r>
      <w:r w:rsidRPr="00097E91">
        <w:t xml:space="preserve">KUBÍKOVÁ, Blanka, Jaroslava HAUSENBLASOVÁ a Sylva DOBALOVÁ, ed. </w:t>
      </w:r>
      <w:r w:rsidRPr="00097E91">
        <w:rPr>
          <w:i/>
          <w:iCs/>
        </w:rPr>
        <w:t xml:space="preserve">Ferdinand II.: arcivévoda Ferdinand II. </w:t>
      </w:r>
      <w:r w:rsidR="0050159B" w:rsidRPr="00097E91">
        <w:rPr>
          <w:i/>
          <w:iCs/>
        </w:rPr>
        <w:t>Habsburský:</w:t>
      </w:r>
      <w:r w:rsidRPr="00097E91">
        <w:rPr>
          <w:i/>
          <w:iCs/>
        </w:rPr>
        <w:t xml:space="preserve"> renesanční vladař a </w:t>
      </w:r>
      <w:r w:rsidR="0050159B" w:rsidRPr="00097E91">
        <w:rPr>
          <w:i/>
          <w:iCs/>
        </w:rPr>
        <w:t>mecenáš:</w:t>
      </w:r>
      <w:r w:rsidRPr="00097E91">
        <w:rPr>
          <w:i/>
          <w:iCs/>
        </w:rPr>
        <w:t xml:space="preserve"> mezi Prahou a </w:t>
      </w:r>
      <w:r w:rsidR="0050159B" w:rsidRPr="00097E91">
        <w:rPr>
          <w:i/>
          <w:iCs/>
        </w:rPr>
        <w:t>Innsbruckem:</w:t>
      </w:r>
      <w:r w:rsidRPr="00097E91">
        <w:rPr>
          <w:i/>
          <w:iCs/>
        </w:rPr>
        <w:t xml:space="preserve"> výstava Národní galerie v Praze a Kunsthistorisches Museum Wien ve spolupráci s Ústavem dějin umění Akademie věd České republiky, </w:t>
      </w:r>
      <w:r w:rsidR="0050159B" w:rsidRPr="00097E91">
        <w:rPr>
          <w:i/>
          <w:iCs/>
        </w:rPr>
        <w:t>v.v.i.:</w:t>
      </w:r>
      <w:r w:rsidRPr="00097E91">
        <w:rPr>
          <w:i/>
          <w:iCs/>
        </w:rPr>
        <w:t xml:space="preserve"> 3.11.2017-25.2.2018, Valdštejnská jízdárna</w:t>
      </w:r>
      <w:r w:rsidRPr="00097E91">
        <w:t>, Praha. V Praze: Národní galerie, 2017</w:t>
      </w:r>
    </w:p>
    <w:p w14:paraId="0EEECC8D" w14:textId="7A29FFD5" w:rsidR="006B50D7" w:rsidRDefault="006B50D7" w:rsidP="00AC51EC">
      <w:pPr>
        <w:jc w:val="both"/>
      </w:pPr>
    </w:p>
    <w:p w14:paraId="38487A93" w14:textId="470923F9" w:rsidR="006B50D7" w:rsidRDefault="006B50D7" w:rsidP="00AC51EC">
      <w:pPr>
        <w:jc w:val="both"/>
      </w:pPr>
      <w:r>
        <w:t xml:space="preserve">FUČÍKOVÁ, Eliška. </w:t>
      </w:r>
      <w:r>
        <w:rPr>
          <w:i/>
          <w:iCs/>
        </w:rPr>
        <w:t>Pražský hrad za Rudolfa II., jeho předchůdců a následovníků (1530-1648)</w:t>
      </w:r>
      <w:r>
        <w:t xml:space="preserve">. In: </w:t>
      </w:r>
      <w:r w:rsidRPr="00097E91">
        <w:t xml:space="preserve">FUČÍKOVÁ, Eliška, James M. BRADBURNE, Jaroslava HAUSENBLASOVÁ, Ivan MUCHKA, Becket BUKOVINSKÁ, Lubomír KONEČNÝ a Michal ŠRONĚK, ed. </w:t>
      </w:r>
      <w:r w:rsidRPr="00097E91">
        <w:rPr>
          <w:i/>
          <w:iCs/>
        </w:rPr>
        <w:t xml:space="preserve">Rudolf II. a Praha: Císařský dvůr a rezidenční město jako kulturní a duchovní centrum střední </w:t>
      </w:r>
      <w:r w:rsidR="0050159B" w:rsidRPr="00097E91">
        <w:rPr>
          <w:i/>
          <w:iCs/>
        </w:rPr>
        <w:t>Evropy:</w:t>
      </w:r>
      <w:r w:rsidRPr="00097E91">
        <w:rPr>
          <w:i/>
          <w:iCs/>
        </w:rPr>
        <w:t xml:space="preserve"> Katalog vystavených exponátů.</w:t>
      </w:r>
      <w:r w:rsidRPr="00097E91">
        <w:t xml:space="preserve"> Praha: Správa Pražského hradu, 1997.</w:t>
      </w:r>
    </w:p>
    <w:p w14:paraId="5D71B582" w14:textId="7BE4C94D" w:rsidR="00AC51EC" w:rsidRDefault="00AC51EC" w:rsidP="00AC51EC">
      <w:pPr>
        <w:jc w:val="both"/>
      </w:pPr>
    </w:p>
    <w:p w14:paraId="130B8D88" w14:textId="4856969B" w:rsidR="00AC51EC" w:rsidRPr="00AC51EC" w:rsidRDefault="00AC51EC" w:rsidP="00AC51EC">
      <w:pPr>
        <w:jc w:val="both"/>
      </w:pPr>
      <w:r>
        <w:t xml:space="preserve">HAUSENBLASOVÁ, Jaroslava. </w:t>
      </w:r>
      <w:r>
        <w:rPr>
          <w:i/>
          <w:iCs/>
        </w:rPr>
        <w:t>Arcivévoda Ferdinand II. – Správce a místodržící Zemí koruny české</w:t>
      </w:r>
      <w:r>
        <w:t xml:space="preserve">. </w:t>
      </w:r>
      <w:r w:rsidRPr="006B69BC">
        <w:t>In</w:t>
      </w:r>
      <w:r>
        <w:t xml:space="preserve">: </w:t>
      </w:r>
      <w:r w:rsidRPr="00097E91">
        <w:t xml:space="preserve">KUBÍKOVÁ, Blanka, Jaroslava HAUSENBLASOVÁ a Sylva DOBALOVÁ, ed. </w:t>
      </w:r>
      <w:r w:rsidRPr="00097E91">
        <w:rPr>
          <w:i/>
          <w:iCs/>
        </w:rPr>
        <w:t xml:space="preserve">Ferdinand II.: arcivévoda Ferdinand II. </w:t>
      </w:r>
      <w:r w:rsidR="0050159B" w:rsidRPr="00097E91">
        <w:rPr>
          <w:i/>
          <w:iCs/>
        </w:rPr>
        <w:t>Habsburský:</w:t>
      </w:r>
      <w:r w:rsidRPr="00097E91">
        <w:rPr>
          <w:i/>
          <w:iCs/>
        </w:rPr>
        <w:t xml:space="preserve"> renesanční vladař a </w:t>
      </w:r>
      <w:r w:rsidR="0050159B" w:rsidRPr="00097E91">
        <w:rPr>
          <w:i/>
          <w:iCs/>
        </w:rPr>
        <w:t>mecenáš:</w:t>
      </w:r>
      <w:r w:rsidRPr="00097E91">
        <w:rPr>
          <w:i/>
          <w:iCs/>
        </w:rPr>
        <w:t xml:space="preserve"> mezi Prahou a </w:t>
      </w:r>
      <w:r w:rsidR="0050159B" w:rsidRPr="00097E91">
        <w:rPr>
          <w:i/>
          <w:iCs/>
        </w:rPr>
        <w:t>Innsbruckem:</w:t>
      </w:r>
      <w:r w:rsidRPr="00097E91">
        <w:rPr>
          <w:i/>
          <w:iCs/>
        </w:rPr>
        <w:t xml:space="preserve"> výstava Národní galerie v Praze a Kunsthistorisches Museum Wien ve spolupráci s Ústavem dějin umění Akademie věd České republiky, </w:t>
      </w:r>
      <w:r w:rsidR="0050159B" w:rsidRPr="00097E91">
        <w:rPr>
          <w:i/>
          <w:iCs/>
        </w:rPr>
        <w:t>v.v.i.:</w:t>
      </w:r>
      <w:r w:rsidRPr="00097E91">
        <w:rPr>
          <w:i/>
          <w:iCs/>
        </w:rPr>
        <w:t xml:space="preserve"> 3.11.2017-25.2.2018, Valdštejnská jízdárna</w:t>
      </w:r>
      <w:r w:rsidRPr="00097E91">
        <w:t>, Praha. V Praze: Národní galerie, 2017</w:t>
      </w:r>
    </w:p>
    <w:p w14:paraId="0C24F67C" w14:textId="77777777" w:rsidR="00AC51EC" w:rsidRDefault="00AC51EC" w:rsidP="00AC51EC">
      <w:pPr>
        <w:jc w:val="both"/>
      </w:pPr>
    </w:p>
    <w:p w14:paraId="4F818216" w14:textId="6FC1D3D3" w:rsidR="00AC51EC" w:rsidRDefault="00AC51EC" w:rsidP="00AC51EC">
      <w:pPr>
        <w:jc w:val="both"/>
      </w:pPr>
      <w:r>
        <w:t xml:space="preserve">VLČEK, Pavel. </w:t>
      </w:r>
      <w:r>
        <w:rPr>
          <w:i/>
          <w:iCs/>
        </w:rPr>
        <w:t>Dějiny architektury renesance a baroka</w:t>
      </w:r>
      <w:r>
        <w:t>. Česká technika – nakladatelství ČVUT. Praha, 2006</w:t>
      </w:r>
    </w:p>
    <w:p w14:paraId="774B35A9" w14:textId="784B531B" w:rsidR="006B50D7" w:rsidRPr="006B50D7" w:rsidRDefault="006B50D7" w:rsidP="006B50D7">
      <w:pPr>
        <w:rPr>
          <w:color w:val="000000"/>
          <w:sz w:val="24"/>
          <w:szCs w:val="24"/>
        </w:rPr>
      </w:pPr>
    </w:p>
    <w:sectPr w:rsidR="006B50D7" w:rsidRPr="006B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1F05" w14:textId="77777777" w:rsidR="00F16B5B" w:rsidRDefault="00F16B5B" w:rsidP="009E5D5D">
      <w:pPr>
        <w:spacing w:line="240" w:lineRule="auto"/>
      </w:pPr>
      <w:r>
        <w:separator/>
      </w:r>
    </w:p>
  </w:endnote>
  <w:endnote w:type="continuationSeparator" w:id="0">
    <w:p w14:paraId="2F234B09" w14:textId="77777777" w:rsidR="00F16B5B" w:rsidRDefault="00F16B5B" w:rsidP="009E5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E5E3" w14:textId="77777777" w:rsidR="00F16B5B" w:rsidRDefault="00F16B5B" w:rsidP="009E5D5D">
      <w:pPr>
        <w:spacing w:line="240" w:lineRule="auto"/>
      </w:pPr>
      <w:r>
        <w:separator/>
      </w:r>
    </w:p>
  </w:footnote>
  <w:footnote w:type="continuationSeparator" w:id="0">
    <w:p w14:paraId="1F2CB09D" w14:textId="77777777" w:rsidR="00F16B5B" w:rsidRDefault="00F16B5B" w:rsidP="009E5D5D">
      <w:pPr>
        <w:spacing w:line="240" w:lineRule="auto"/>
      </w:pPr>
      <w:r>
        <w:continuationSeparator/>
      </w:r>
    </w:p>
  </w:footnote>
  <w:footnote w:id="1">
    <w:p w14:paraId="6007B58C" w14:textId="26E84D9E" w:rsidR="009E5D5D" w:rsidRPr="00DC5C7A" w:rsidRDefault="009E5D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C5C7A">
        <w:t xml:space="preserve">VLČEK, Pavel. </w:t>
      </w:r>
      <w:r w:rsidR="00DC5C7A">
        <w:rPr>
          <w:i/>
          <w:iCs/>
        </w:rPr>
        <w:t>Dějiny architektury renesance a baroka</w:t>
      </w:r>
      <w:r w:rsidR="00DC5C7A">
        <w:t>. Česká technika – nakladatelství ČVUT. Praha, 2006. s. 129-130</w:t>
      </w:r>
    </w:p>
  </w:footnote>
  <w:footnote w:id="2">
    <w:p w14:paraId="099A2BFA" w14:textId="5D972699" w:rsidR="00097E91" w:rsidRPr="00097E91" w:rsidRDefault="00605772" w:rsidP="00097E91">
      <w:pPr>
        <w:pStyle w:val="Textpoznpodarou"/>
      </w:pPr>
      <w:r>
        <w:rPr>
          <w:rStyle w:val="Znakapoznpodarou"/>
        </w:rPr>
        <w:footnoteRef/>
      </w:r>
      <w:r w:rsidR="00097E91">
        <w:t xml:space="preserve"> FUČÍKOVÁ, Eliška. </w:t>
      </w:r>
      <w:r w:rsidR="00097E91">
        <w:rPr>
          <w:i/>
          <w:iCs/>
        </w:rPr>
        <w:t>Pražský hrad za Rudolfa II., jeho předchůdců a následovníků (1530-1648)</w:t>
      </w:r>
      <w:r w:rsidR="00097E91">
        <w:t>.</w:t>
      </w:r>
      <w:r>
        <w:t xml:space="preserve"> </w:t>
      </w:r>
      <w:r w:rsidR="00097E91">
        <w:t xml:space="preserve">In: </w:t>
      </w:r>
      <w:r w:rsidR="00097E91" w:rsidRPr="00097E91">
        <w:t xml:space="preserve">FUČÍKOVÁ, Eliška, James M. BRADBURNE, Jaroslava HAUSENBLASOVÁ, Ivan MUCHKA, Becket BUKOVINSKÁ, Lubomír KONEČNÝ a Michal ŠRONĚK, ed. </w:t>
      </w:r>
      <w:r w:rsidR="00097E91" w:rsidRPr="00097E91">
        <w:rPr>
          <w:i/>
          <w:iCs/>
        </w:rPr>
        <w:t xml:space="preserve">Rudolf II. a Praha: Císařský dvůr a rezidenční město jako kulturní a duchovní centrum střední </w:t>
      </w:r>
      <w:r w:rsidR="0050159B" w:rsidRPr="00097E91">
        <w:rPr>
          <w:i/>
          <w:iCs/>
        </w:rPr>
        <w:t>Evropy:</w:t>
      </w:r>
      <w:r w:rsidR="00097E91" w:rsidRPr="00097E91">
        <w:rPr>
          <w:i/>
          <w:iCs/>
        </w:rPr>
        <w:t xml:space="preserve"> Katalog vystavených exponátů.</w:t>
      </w:r>
      <w:r w:rsidR="00097E91" w:rsidRPr="00097E91">
        <w:t xml:space="preserve"> Praha: Správa Pražského hradu, 1997.</w:t>
      </w:r>
    </w:p>
    <w:p w14:paraId="5FD7F043" w14:textId="7A95D462" w:rsidR="00605772" w:rsidRPr="00605772" w:rsidRDefault="00605772" w:rsidP="00605772">
      <w:pPr>
        <w:pStyle w:val="Textpoznpodarou"/>
      </w:pPr>
      <w:r>
        <w:t>s. 2</w:t>
      </w:r>
    </w:p>
  </w:footnote>
  <w:footnote w:id="3">
    <w:p w14:paraId="5A1454B3" w14:textId="7BBBCC8D" w:rsidR="00605772" w:rsidRDefault="00605772">
      <w:pPr>
        <w:pStyle w:val="Textpoznpodarou"/>
      </w:pPr>
      <w:r>
        <w:rPr>
          <w:rStyle w:val="Znakapoznpodarou"/>
        </w:rPr>
        <w:footnoteRef/>
      </w:r>
      <w:r>
        <w:t xml:space="preserve"> VLČEK, Pavel. </w:t>
      </w:r>
      <w:r>
        <w:rPr>
          <w:i/>
          <w:iCs/>
        </w:rPr>
        <w:t>Dějiny architektury…</w:t>
      </w:r>
      <w:r>
        <w:t xml:space="preserve"> s. 136</w:t>
      </w:r>
    </w:p>
  </w:footnote>
  <w:footnote w:id="4">
    <w:p w14:paraId="670BBD7F" w14:textId="25989EFD" w:rsidR="008B6B20" w:rsidRPr="008B6B20" w:rsidRDefault="008B6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97E91">
        <w:t xml:space="preserve">FUČÍKOVÁ, Eliška. </w:t>
      </w:r>
      <w:r w:rsidR="00097E91">
        <w:rPr>
          <w:i/>
          <w:iCs/>
        </w:rPr>
        <w:t>Pražský hrad za Rudolfa II. …</w:t>
      </w:r>
      <w:r w:rsidR="00097E91">
        <w:t xml:space="preserve"> In: </w:t>
      </w:r>
      <w:r>
        <w:t xml:space="preserve">FUČÍKOVÁ, Eliška. </w:t>
      </w:r>
      <w:r w:rsidRPr="00605772">
        <w:rPr>
          <w:i/>
          <w:iCs/>
        </w:rPr>
        <w:t>Rudolf II. a Praha</w:t>
      </w:r>
      <w:r>
        <w:t>… s. 4</w:t>
      </w:r>
    </w:p>
  </w:footnote>
  <w:footnote w:id="5">
    <w:p w14:paraId="552E0888" w14:textId="6232B7E4" w:rsidR="000E5E92" w:rsidRDefault="000E5E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E4A88">
        <w:t>Tamtéž</w:t>
      </w:r>
      <w:r>
        <w:t xml:space="preserve"> s. 8</w:t>
      </w:r>
    </w:p>
  </w:footnote>
  <w:footnote w:id="6">
    <w:p w14:paraId="224C2A6C" w14:textId="734D1F94" w:rsidR="006B69BC" w:rsidRDefault="006B69BC">
      <w:pPr>
        <w:pStyle w:val="Textpoznpodarou"/>
      </w:pPr>
      <w:r>
        <w:rPr>
          <w:rStyle w:val="Znakapoznpodarou"/>
        </w:rPr>
        <w:footnoteRef/>
      </w:r>
      <w:r>
        <w:t xml:space="preserve"> FUČÍKOVÁ, Eliška. </w:t>
      </w:r>
      <w:r>
        <w:rPr>
          <w:i/>
          <w:iCs/>
        </w:rPr>
        <w:t xml:space="preserve">Pražský hrad a jeho výzdoba za arcivévody Ferdinanda </w:t>
      </w:r>
      <w:r w:rsidRPr="006B69BC">
        <w:rPr>
          <w:i/>
          <w:iCs/>
        </w:rPr>
        <w:t>II</w:t>
      </w:r>
      <w:r>
        <w:t xml:space="preserve">. </w:t>
      </w:r>
      <w:r w:rsidRPr="006B69BC">
        <w:t>In</w:t>
      </w:r>
      <w:r>
        <w:t xml:space="preserve">: </w:t>
      </w:r>
      <w:r w:rsidRPr="00097E91">
        <w:t xml:space="preserve">KUBÍKOVÁ, Blanka, Jaroslava HAUSENBLASOVÁ a Sylva DOBALOVÁ, ed. </w:t>
      </w:r>
      <w:r w:rsidRPr="00097E91">
        <w:rPr>
          <w:i/>
          <w:iCs/>
        </w:rPr>
        <w:t xml:space="preserve">Ferdinand II.: arcivévoda Ferdinand II. </w:t>
      </w:r>
      <w:r w:rsidR="0050159B" w:rsidRPr="00097E91">
        <w:rPr>
          <w:i/>
          <w:iCs/>
        </w:rPr>
        <w:t>Habsburský:</w:t>
      </w:r>
      <w:r w:rsidRPr="00097E91">
        <w:rPr>
          <w:i/>
          <w:iCs/>
        </w:rPr>
        <w:t xml:space="preserve"> renesanční vladař a </w:t>
      </w:r>
      <w:r w:rsidR="0050159B" w:rsidRPr="00097E91">
        <w:rPr>
          <w:i/>
          <w:iCs/>
        </w:rPr>
        <w:t>mecenáš:</w:t>
      </w:r>
      <w:r w:rsidRPr="00097E91">
        <w:rPr>
          <w:i/>
          <w:iCs/>
        </w:rPr>
        <w:t xml:space="preserve"> mezi Prahou a </w:t>
      </w:r>
      <w:r w:rsidR="0050159B" w:rsidRPr="00097E91">
        <w:rPr>
          <w:i/>
          <w:iCs/>
        </w:rPr>
        <w:t>Innsbruckem:</w:t>
      </w:r>
      <w:r w:rsidRPr="00097E91">
        <w:rPr>
          <w:i/>
          <w:iCs/>
        </w:rPr>
        <w:t xml:space="preserve"> výstava Národní galerie v Praze a Kunsthistorisches Museum Wien ve spolupráci s Ústavem dějin umění Akademie věd České republiky, </w:t>
      </w:r>
      <w:r w:rsidR="0050159B" w:rsidRPr="00097E91">
        <w:rPr>
          <w:i/>
          <w:iCs/>
        </w:rPr>
        <w:t>v.v.i.:</w:t>
      </w:r>
      <w:r w:rsidRPr="00097E91">
        <w:rPr>
          <w:i/>
          <w:iCs/>
        </w:rPr>
        <w:t xml:space="preserve"> 3.11.2017-25.2.2018, Valdštejnská jízdárna</w:t>
      </w:r>
      <w:r w:rsidRPr="00097E91">
        <w:t>, Praha. V Praze: Národní galerie, 2017.</w:t>
      </w:r>
      <w:r>
        <w:t xml:space="preserve"> s. 38-43</w:t>
      </w:r>
    </w:p>
  </w:footnote>
  <w:footnote w:id="7">
    <w:p w14:paraId="16F87417" w14:textId="4CF18D24" w:rsidR="00097E91" w:rsidRDefault="00097E91">
      <w:pPr>
        <w:pStyle w:val="Textpoznpodarou"/>
      </w:pPr>
      <w:r>
        <w:rPr>
          <w:rStyle w:val="Znakapoznpodarou"/>
        </w:rPr>
        <w:footnoteRef/>
      </w:r>
      <w:r>
        <w:t xml:space="preserve"> DOBALOVÁ, Sylva, Ivan Prokop MUCHKA</w:t>
      </w:r>
      <w:r>
        <w:rPr>
          <w:i/>
          <w:iCs/>
        </w:rPr>
        <w:t xml:space="preserve">. Stavební projekty arcivévody Ferdinanda II. v Praze a Innsbrucku </w:t>
      </w:r>
      <w:r w:rsidRPr="00097E91">
        <w:t>I</w:t>
      </w:r>
      <w:r>
        <w:t xml:space="preserve">n: </w:t>
      </w:r>
      <w:r w:rsidRPr="00097E91">
        <w:t xml:space="preserve">KUBÍKOVÁ, Blanka, ed. </w:t>
      </w:r>
      <w:r w:rsidRPr="00097E91">
        <w:rPr>
          <w:i/>
          <w:iCs/>
        </w:rPr>
        <w:t>Ferdinand II.: arcivévoda Ferdinand II.</w:t>
      </w:r>
      <w:r w:rsidR="006B69BC">
        <w:rPr>
          <w:i/>
          <w:iCs/>
        </w:rPr>
        <w:t xml:space="preserve"> …</w:t>
      </w:r>
      <w:r>
        <w:t xml:space="preserve"> s. 32-37</w:t>
      </w:r>
    </w:p>
  </w:footnote>
  <w:footnote w:id="8">
    <w:p w14:paraId="0B126E9C" w14:textId="14279C58" w:rsidR="006C00AA" w:rsidRDefault="006C00AA">
      <w:pPr>
        <w:pStyle w:val="Textpoznpodarou"/>
      </w:pPr>
      <w:r>
        <w:rPr>
          <w:rStyle w:val="Znakapoznpodarou"/>
        </w:rPr>
        <w:footnoteRef/>
      </w:r>
      <w:r>
        <w:t xml:space="preserve"> FUČÍKOVÁ, Eliška. </w:t>
      </w:r>
      <w:r>
        <w:rPr>
          <w:i/>
          <w:iCs/>
        </w:rPr>
        <w:t>Pražský hrad za Rudolfa II. …</w:t>
      </w:r>
      <w:r>
        <w:t xml:space="preserve"> In: FUČÍKOVÁ, Eliška. </w:t>
      </w:r>
      <w:r w:rsidRPr="00605772">
        <w:rPr>
          <w:i/>
          <w:iCs/>
        </w:rPr>
        <w:t>Rudolf II. a Praha</w:t>
      </w:r>
      <w:r>
        <w:t>… s. 11</w:t>
      </w:r>
    </w:p>
  </w:footnote>
  <w:footnote w:id="9">
    <w:p w14:paraId="016B25A4" w14:textId="168856C6" w:rsidR="00495FF0" w:rsidRDefault="00495FF0">
      <w:pPr>
        <w:pStyle w:val="Textpoznpodarou"/>
      </w:pPr>
      <w:r>
        <w:rPr>
          <w:rStyle w:val="Znakapoznpodarou"/>
        </w:rPr>
        <w:footnoteRef/>
      </w:r>
      <w:r>
        <w:t xml:space="preserve"> Tamtéž s. 13</w:t>
      </w:r>
    </w:p>
  </w:footnote>
  <w:footnote w:id="10">
    <w:p w14:paraId="2D1F5BEE" w14:textId="09226C9C" w:rsidR="00D2335A" w:rsidRDefault="00D233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2335A">
        <w:t xml:space="preserve">FUČÍKOVÁ, Eliška. </w:t>
      </w:r>
      <w:r w:rsidRPr="00D2335A">
        <w:rPr>
          <w:i/>
          <w:iCs/>
        </w:rPr>
        <w:t>Praha rudolfínská</w:t>
      </w:r>
      <w:r w:rsidRPr="00D2335A">
        <w:t>. Praha: Karolinum, 2014.</w:t>
      </w:r>
      <w:r>
        <w:t xml:space="preserve"> s. 117</w:t>
      </w:r>
    </w:p>
  </w:footnote>
  <w:footnote w:id="11">
    <w:p w14:paraId="48B597E5" w14:textId="49BC5BC2" w:rsidR="00D2335A" w:rsidRDefault="00D2335A">
      <w:pPr>
        <w:pStyle w:val="Textpoznpodarou"/>
      </w:pPr>
      <w:r>
        <w:rPr>
          <w:rStyle w:val="Znakapoznpodarou"/>
        </w:rPr>
        <w:footnoteRef/>
      </w:r>
      <w:r>
        <w:t xml:space="preserve"> Tamtéž s. 127</w:t>
      </w:r>
    </w:p>
  </w:footnote>
  <w:footnote w:id="12">
    <w:p w14:paraId="7D5E42A9" w14:textId="7E881179" w:rsidR="00D2335A" w:rsidRDefault="00D2335A">
      <w:pPr>
        <w:pStyle w:val="Textpoznpodarou"/>
      </w:pPr>
      <w:r>
        <w:rPr>
          <w:rStyle w:val="Znakapoznpodarou"/>
        </w:rPr>
        <w:footnoteRef/>
      </w:r>
      <w:r>
        <w:t xml:space="preserve"> Tamtéž s. 135</w:t>
      </w:r>
    </w:p>
  </w:footnote>
  <w:footnote w:id="13">
    <w:p w14:paraId="0F359C10" w14:textId="35F092E8" w:rsidR="00D2335A" w:rsidRDefault="00D2335A">
      <w:pPr>
        <w:pStyle w:val="Textpoznpodarou"/>
      </w:pPr>
      <w:r>
        <w:rPr>
          <w:rStyle w:val="Znakapoznpodarou"/>
        </w:rPr>
        <w:footnoteRef/>
      </w:r>
      <w:r>
        <w:t xml:space="preserve"> Tamtéž s. 160</w:t>
      </w:r>
    </w:p>
  </w:footnote>
  <w:footnote w:id="14">
    <w:p w14:paraId="7CA0813E" w14:textId="5A6A79C9" w:rsidR="008D347E" w:rsidRDefault="008D347E">
      <w:pPr>
        <w:pStyle w:val="Textpoznpodarou"/>
      </w:pPr>
      <w:r>
        <w:rPr>
          <w:rStyle w:val="Znakapoznpodarou"/>
        </w:rPr>
        <w:footnoteRef/>
      </w:r>
      <w:r>
        <w:t xml:space="preserve"> Tamtéž s. 58; 64-67; 74; 97-98</w:t>
      </w:r>
    </w:p>
  </w:footnote>
  <w:footnote w:id="15">
    <w:p w14:paraId="5F440DD7" w14:textId="0B87C38A" w:rsidR="001F7243" w:rsidRDefault="001F7243">
      <w:pPr>
        <w:pStyle w:val="Textpoznpodarou"/>
      </w:pPr>
      <w:r>
        <w:rPr>
          <w:rStyle w:val="Znakapoznpodarou"/>
        </w:rPr>
        <w:footnoteRef/>
      </w:r>
      <w:r>
        <w:t xml:space="preserve"> Tamtéž s. 71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BE7"/>
    <w:multiLevelType w:val="hybridMultilevel"/>
    <w:tmpl w:val="B57C04C0"/>
    <w:lvl w:ilvl="0" w:tplc="72BE6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84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00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60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0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A2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8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C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FE7FE2"/>
    <w:multiLevelType w:val="hybridMultilevel"/>
    <w:tmpl w:val="ABD464C4"/>
    <w:lvl w:ilvl="0" w:tplc="241A4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E8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0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4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61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2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4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B83608"/>
    <w:multiLevelType w:val="hybridMultilevel"/>
    <w:tmpl w:val="1882837C"/>
    <w:lvl w:ilvl="0" w:tplc="9B4E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8A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4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65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2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C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A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62"/>
    <w:rsid w:val="00097E91"/>
    <w:rsid w:val="000E5E92"/>
    <w:rsid w:val="00130F7C"/>
    <w:rsid w:val="00146F18"/>
    <w:rsid w:val="001F7243"/>
    <w:rsid w:val="00300D57"/>
    <w:rsid w:val="00331E43"/>
    <w:rsid w:val="0035358C"/>
    <w:rsid w:val="003E62CC"/>
    <w:rsid w:val="003E76F7"/>
    <w:rsid w:val="004062CE"/>
    <w:rsid w:val="00495FF0"/>
    <w:rsid w:val="004D326D"/>
    <w:rsid w:val="0050159B"/>
    <w:rsid w:val="005100A5"/>
    <w:rsid w:val="0056123A"/>
    <w:rsid w:val="005655CF"/>
    <w:rsid w:val="0059204C"/>
    <w:rsid w:val="005A06D7"/>
    <w:rsid w:val="00605772"/>
    <w:rsid w:val="00636F39"/>
    <w:rsid w:val="00661762"/>
    <w:rsid w:val="006B50D7"/>
    <w:rsid w:val="006B69BC"/>
    <w:rsid w:val="006C00AA"/>
    <w:rsid w:val="00721F75"/>
    <w:rsid w:val="00785B2B"/>
    <w:rsid w:val="007C1452"/>
    <w:rsid w:val="00890603"/>
    <w:rsid w:val="008B6B20"/>
    <w:rsid w:val="008D347E"/>
    <w:rsid w:val="009502F6"/>
    <w:rsid w:val="009637ED"/>
    <w:rsid w:val="009B5021"/>
    <w:rsid w:val="009E5D5D"/>
    <w:rsid w:val="00AC51EC"/>
    <w:rsid w:val="00BF3FE9"/>
    <w:rsid w:val="00D2335A"/>
    <w:rsid w:val="00D34EBF"/>
    <w:rsid w:val="00D65637"/>
    <w:rsid w:val="00DC5C7A"/>
    <w:rsid w:val="00E17719"/>
    <w:rsid w:val="00E21936"/>
    <w:rsid w:val="00EE4A88"/>
    <w:rsid w:val="00EE4B8D"/>
    <w:rsid w:val="00F16B5B"/>
    <w:rsid w:val="00F814B6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DCE"/>
  <w15:chartTrackingRefBased/>
  <w15:docId w15:val="{4235A13C-E808-4B42-B4B8-ECDEEE9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5D5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5D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5D5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E9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EE19-ED05-4AA5-9179-A1E866B7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1624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Vicherek</dc:creator>
  <cp:keywords/>
  <dc:description/>
  <cp:lastModifiedBy>Jonáš Vicherek</cp:lastModifiedBy>
  <cp:revision>20</cp:revision>
  <dcterms:created xsi:type="dcterms:W3CDTF">2020-12-21T13:12:00Z</dcterms:created>
  <dcterms:modified xsi:type="dcterms:W3CDTF">2021-01-13T14:06:00Z</dcterms:modified>
</cp:coreProperties>
</file>