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62CB" w14:textId="77777777" w:rsidR="00A54782" w:rsidRPr="00106537" w:rsidRDefault="00A54782" w:rsidP="00A54782">
      <w:pPr>
        <w:rPr>
          <w:rFonts w:ascii="Times New Roman" w:eastAsia="Times New Roman" w:hAnsi="Times New Roman" w:cs="Times New Roman"/>
          <w:lang w:eastAsia="cs-CZ"/>
        </w:rPr>
      </w:pPr>
      <w:r w:rsidRPr="00106537">
        <w:rPr>
          <w:rFonts w:ascii="Times New Roman" w:eastAsia="Times New Roman" w:hAnsi="Times New Roman" w:cs="Times New Roman"/>
          <w:noProof/>
          <w:lang w:eastAsia="cs-CZ"/>
        </w:rPr>
        <w:drawing>
          <wp:anchor distT="0" distB="0" distL="114300" distR="114300" simplePos="0" relativeHeight="251659264" behindDoc="0" locked="0" layoutInCell="1" allowOverlap="1" wp14:anchorId="785183AB" wp14:editId="6A351E72">
            <wp:simplePos x="0" y="0"/>
            <wp:positionH relativeFrom="column">
              <wp:posOffset>837614</wp:posOffset>
            </wp:positionH>
            <wp:positionV relativeFrom="paragraph">
              <wp:posOffset>334010</wp:posOffset>
            </wp:positionV>
            <wp:extent cx="5756910" cy="108267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537">
        <w:rPr>
          <w:rFonts w:ascii="Times New Roman" w:eastAsia="Times New Roman" w:hAnsi="Times New Roman" w:cs="Times New Roman"/>
          <w:lang w:eastAsia="cs-CZ"/>
        </w:rPr>
        <w:fldChar w:fldCharType="begin"/>
      </w:r>
      <w:r w:rsidRPr="00106537">
        <w:rPr>
          <w:rFonts w:ascii="Times New Roman" w:eastAsia="Times New Roman" w:hAnsi="Times New Roman" w:cs="Times New Roman"/>
          <w:lang w:eastAsia="cs-CZ"/>
        </w:rPr>
        <w:instrText xml:space="preserve"> INCLUDEPICTURE "https://fhs.cuni.cz/FHS-1-version1-afoto.jpg" \* MERGEFORMATINET </w:instrText>
      </w:r>
      <w:r w:rsidRPr="00106537">
        <w:rPr>
          <w:rFonts w:ascii="Times New Roman" w:eastAsia="Times New Roman" w:hAnsi="Times New Roman" w:cs="Times New Roman"/>
          <w:lang w:eastAsia="cs-CZ"/>
        </w:rPr>
        <w:fldChar w:fldCharType="end"/>
      </w:r>
    </w:p>
    <w:p w14:paraId="1F37D6E5" w14:textId="77777777" w:rsidR="00A54782" w:rsidRDefault="00A54782" w:rsidP="00A54782">
      <w:pPr>
        <w:tabs>
          <w:tab w:val="left" w:pos="4536"/>
        </w:tabs>
      </w:pPr>
    </w:p>
    <w:p w14:paraId="3C3BDE2B" w14:textId="77777777" w:rsidR="00A54782" w:rsidRDefault="00A54782" w:rsidP="00A54782">
      <w:pPr>
        <w:tabs>
          <w:tab w:val="left" w:pos="4536"/>
        </w:tabs>
      </w:pPr>
    </w:p>
    <w:p w14:paraId="5FC6DC54" w14:textId="77777777" w:rsidR="00A54782" w:rsidRDefault="00A54782" w:rsidP="00A54782">
      <w:pPr>
        <w:tabs>
          <w:tab w:val="left" w:pos="4536"/>
        </w:tabs>
      </w:pPr>
    </w:p>
    <w:p w14:paraId="6AFF7202" w14:textId="77777777" w:rsidR="00A54782" w:rsidRDefault="00A54782" w:rsidP="00A54782">
      <w:pPr>
        <w:tabs>
          <w:tab w:val="left" w:pos="4536"/>
        </w:tabs>
      </w:pPr>
    </w:p>
    <w:p w14:paraId="64C59B5A" w14:textId="77777777" w:rsidR="00A54782" w:rsidRDefault="00A54782" w:rsidP="00A54782">
      <w:pPr>
        <w:tabs>
          <w:tab w:val="left" w:pos="4536"/>
        </w:tabs>
      </w:pPr>
    </w:p>
    <w:p w14:paraId="0BE5C9CE" w14:textId="77777777" w:rsidR="00A54782" w:rsidRDefault="00A54782" w:rsidP="00A54782">
      <w:pPr>
        <w:tabs>
          <w:tab w:val="left" w:pos="4536"/>
        </w:tabs>
        <w:jc w:val="center"/>
      </w:pPr>
    </w:p>
    <w:p w14:paraId="132F216B" w14:textId="69541A5E" w:rsidR="00A54782" w:rsidRPr="00BD1DAA" w:rsidRDefault="002D71A3" w:rsidP="00A54782">
      <w:pPr>
        <w:tabs>
          <w:tab w:val="left" w:pos="4536"/>
        </w:tabs>
        <w:jc w:val="center"/>
        <w:rPr>
          <w:rFonts w:ascii="Palatino" w:hAnsi="Palatino"/>
        </w:rPr>
      </w:pPr>
      <w:r>
        <w:t>Jméno</w:t>
      </w:r>
      <w:bookmarkStart w:id="0" w:name="_GoBack"/>
      <w:bookmarkEnd w:id="0"/>
    </w:p>
    <w:p w14:paraId="1221C124" w14:textId="77777777" w:rsidR="00A54782" w:rsidRPr="00BD1DAA" w:rsidRDefault="00A54782" w:rsidP="00A54782">
      <w:pPr>
        <w:tabs>
          <w:tab w:val="left" w:pos="4536"/>
        </w:tabs>
        <w:jc w:val="center"/>
        <w:rPr>
          <w:rFonts w:ascii="Palatino" w:hAnsi="Palatino"/>
        </w:rPr>
      </w:pPr>
    </w:p>
    <w:p w14:paraId="33FB4F8E" w14:textId="77777777" w:rsidR="00A54782" w:rsidRPr="00BD1DAA" w:rsidRDefault="00A54782" w:rsidP="00A54782">
      <w:pPr>
        <w:tabs>
          <w:tab w:val="left" w:pos="4536"/>
        </w:tabs>
        <w:jc w:val="center"/>
        <w:rPr>
          <w:rFonts w:ascii="Palatino" w:hAnsi="Palatino"/>
        </w:rPr>
      </w:pPr>
    </w:p>
    <w:p w14:paraId="4B27CD62" w14:textId="77777777" w:rsidR="00A54782" w:rsidRPr="00BD1DAA" w:rsidRDefault="00A54782" w:rsidP="00A54782">
      <w:pPr>
        <w:tabs>
          <w:tab w:val="left" w:pos="4536"/>
        </w:tabs>
        <w:jc w:val="center"/>
        <w:rPr>
          <w:rFonts w:ascii="Palatino" w:hAnsi="Palatino"/>
        </w:rPr>
      </w:pPr>
    </w:p>
    <w:p w14:paraId="50FEF76D" w14:textId="77777777" w:rsidR="00A54782" w:rsidRPr="00BD1DAA" w:rsidRDefault="00A54782" w:rsidP="00A54782">
      <w:pPr>
        <w:tabs>
          <w:tab w:val="left" w:pos="4536"/>
        </w:tabs>
        <w:jc w:val="center"/>
        <w:rPr>
          <w:rFonts w:ascii="Palatino" w:hAnsi="Palatino"/>
        </w:rPr>
      </w:pPr>
    </w:p>
    <w:p w14:paraId="6066EDBB" w14:textId="77777777" w:rsidR="00A54782" w:rsidRPr="00BD1DAA" w:rsidRDefault="00A54782" w:rsidP="00A54782">
      <w:pPr>
        <w:tabs>
          <w:tab w:val="left" w:pos="4536"/>
        </w:tabs>
        <w:jc w:val="center"/>
        <w:rPr>
          <w:rFonts w:ascii="Palatino" w:hAnsi="Palatino"/>
        </w:rPr>
      </w:pPr>
    </w:p>
    <w:p w14:paraId="67BB16AB" w14:textId="77777777" w:rsidR="00A54782" w:rsidRPr="00BD1DAA" w:rsidRDefault="00A54782" w:rsidP="00A54782">
      <w:pPr>
        <w:tabs>
          <w:tab w:val="left" w:pos="4536"/>
        </w:tabs>
        <w:jc w:val="center"/>
        <w:rPr>
          <w:rFonts w:ascii="Palatino" w:hAnsi="Palatino"/>
        </w:rPr>
      </w:pPr>
    </w:p>
    <w:p w14:paraId="0F618201" w14:textId="77777777" w:rsidR="00A54782" w:rsidRPr="00BD1DAA" w:rsidRDefault="00A54782" w:rsidP="00A54782">
      <w:pPr>
        <w:tabs>
          <w:tab w:val="left" w:pos="4536"/>
        </w:tabs>
        <w:jc w:val="center"/>
        <w:rPr>
          <w:rFonts w:ascii="Palatino" w:hAnsi="Palatino"/>
          <w:b/>
          <w:bCs/>
          <w:i/>
          <w:iCs/>
          <w:sz w:val="28"/>
          <w:szCs w:val="28"/>
        </w:rPr>
      </w:pPr>
      <w:r w:rsidRPr="00BD1DAA">
        <w:rPr>
          <w:rFonts w:ascii="Palatino" w:hAnsi="Palatino"/>
          <w:b/>
          <w:bCs/>
          <w:sz w:val="28"/>
          <w:szCs w:val="28"/>
        </w:rPr>
        <w:t xml:space="preserve">Antropologické přístupy ke zkoumání vlivu sociálních a kulturních faktorů na vznik závislosti na </w:t>
      </w:r>
      <w:r w:rsidR="00BD1DAA" w:rsidRPr="00BD1DAA">
        <w:rPr>
          <w:rFonts w:ascii="Palatino" w:hAnsi="Palatino"/>
          <w:b/>
          <w:bCs/>
          <w:sz w:val="28"/>
          <w:szCs w:val="28"/>
        </w:rPr>
        <w:t>kouření</w:t>
      </w:r>
    </w:p>
    <w:p w14:paraId="2AC518B6" w14:textId="77777777" w:rsidR="00A54782" w:rsidRPr="00BD1DAA" w:rsidRDefault="00A54782" w:rsidP="00A54782">
      <w:pPr>
        <w:tabs>
          <w:tab w:val="left" w:pos="4536"/>
        </w:tabs>
        <w:jc w:val="center"/>
        <w:rPr>
          <w:rFonts w:ascii="Palatino" w:hAnsi="Palatino"/>
          <w:i/>
          <w:iCs/>
        </w:rPr>
      </w:pPr>
    </w:p>
    <w:p w14:paraId="6651C85E" w14:textId="77777777" w:rsidR="00A54782" w:rsidRPr="00BD1DAA" w:rsidRDefault="00A54782" w:rsidP="00A54782">
      <w:pPr>
        <w:tabs>
          <w:tab w:val="left" w:pos="4536"/>
        </w:tabs>
        <w:jc w:val="center"/>
        <w:rPr>
          <w:rFonts w:ascii="Palatino" w:hAnsi="Palatino"/>
        </w:rPr>
      </w:pPr>
    </w:p>
    <w:p w14:paraId="6A80BE93" w14:textId="77777777" w:rsidR="00813C18" w:rsidRPr="00BD1DAA" w:rsidRDefault="00813C18" w:rsidP="00A54782">
      <w:pPr>
        <w:tabs>
          <w:tab w:val="left" w:pos="4536"/>
        </w:tabs>
        <w:jc w:val="center"/>
        <w:rPr>
          <w:rFonts w:ascii="Palatino" w:hAnsi="Palatino"/>
        </w:rPr>
      </w:pPr>
    </w:p>
    <w:p w14:paraId="681BF3FA" w14:textId="77777777" w:rsidR="00813C18" w:rsidRPr="00BD1DAA" w:rsidRDefault="00813C18" w:rsidP="00A54782">
      <w:pPr>
        <w:tabs>
          <w:tab w:val="left" w:pos="4536"/>
        </w:tabs>
        <w:jc w:val="center"/>
        <w:rPr>
          <w:rFonts w:ascii="Palatino" w:hAnsi="Palatino"/>
        </w:rPr>
      </w:pPr>
    </w:p>
    <w:p w14:paraId="136BB137" w14:textId="77777777" w:rsidR="00813C18" w:rsidRPr="00BD1DAA" w:rsidRDefault="00813C18" w:rsidP="00A54782">
      <w:pPr>
        <w:tabs>
          <w:tab w:val="left" w:pos="4536"/>
        </w:tabs>
        <w:jc w:val="center"/>
        <w:rPr>
          <w:rFonts w:ascii="Palatino" w:hAnsi="Palatino"/>
        </w:rPr>
      </w:pPr>
    </w:p>
    <w:p w14:paraId="257A33F8" w14:textId="77777777" w:rsidR="00813C18" w:rsidRPr="00BD1DAA" w:rsidRDefault="00813C18" w:rsidP="00A54782">
      <w:pPr>
        <w:tabs>
          <w:tab w:val="left" w:pos="4536"/>
        </w:tabs>
        <w:jc w:val="center"/>
        <w:rPr>
          <w:rFonts w:ascii="Palatino" w:hAnsi="Palatino"/>
        </w:rPr>
      </w:pPr>
    </w:p>
    <w:p w14:paraId="5C287248" w14:textId="77777777" w:rsidR="00A54782" w:rsidRPr="00BD1DAA" w:rsidRDefault="00813C18" w:rsidP="00A54782">
      <w:pPr>
        <w:tabs>
          <w:tab w:val="left" w:pos="4536"/>
        </w:tabs>
        <w:jc w:val="center"/>
        <w:rPr>
          <w:rFonts w:ascii="Palatino" w:hAnsi="Palatino"/>
        </w:rPr>
      </w:pPr>
      <w:r w:rsidRPr="00BD1DAA">
        <w:rPr>
          <w:rFonts w:ascii="Palatino" w:hAnsi="Palatino"/>
          <w:sz w:val="28"/>
          <w:szCs w:val="28"/>
        </w:rPr>
        <w:t>proseminární práce</w:t>
      </w:r>
    </w:p>
    <w:p w14:paraId="16B50F0C" w14:textId="77777777" w:rsidR="00A54782" w:rsidRPr="00BD1DAA" w:rsidRDefault="00A54782" w:rsidP="00A54782">
      <w:pPr>
        <w:tabs>
          <w:tab w:val="left" w:pos="4536"/>
        </w:tabs>
        <w:jc w:val="center"/>
        <w:rPr>
          <w:rFonts w:ascii="Palatino" w:hAnsi="Palatino"/>
        </w:rPr>
      </w:pPr>
    </w:p>
    <w:p w14:paraId="3B0EFF80" w14:textId="77777777" w:rsidR="00A54782" w:rsidRPr="00BD1DAA" w:rsidRDefault="00A54782" w:rsidP="00A54782">
      <w:pPr>
        <w:tabs>
          <w:tab w:val="left" w:pos="4536"/>
        </w:tabs>
        <w:jc w:val="center"/>
        <w:rPr>
          <w:rFonts w:ascii="Palatino" w:hAnsi="Palatino"/>
        </w:rPr>
      </w:pPr>
    </w:p>
    <w:p w14:paraId="496C978F" w14:textId="77777777" w:rsidR="00A54782" w:rsidRPr="00BD1DAA" w:rsidRDefault="00A54782" w:rsidP="00813C18">
      <w:pPr>
        <w:tabs>
          <w:tab w:val="left" w:pos="4536"/>
        </w:tabs>
        <w:rPr>
          <w:rFonts w:ascii="Palatino" w:hAnsi="Palatino"/>
        </w:rPr>
      </w:pPr>
    </w:p>
    <w:p w14:paraId="65FF1C6B" w14:textId="77777777" w:rsidR="00A54782" w:rsidRPr="00BD1DAA" w:rsidRDefault="00A54782" w:rsidP="00A54782">
      <w:pPr>
        <w:tabs>
          <w:tab w:val="left" w:pos="4536"/>
        </w:tabs>
        <w:jc w:val="center"/>
        <w:rPr>
          <w:rFonts w:ascii="Palatino" w:hAnsi="Palatino"/>
        </w:rPr>
      </w:pPr>
    </w:p>
    <w:p w14:paraId="06F21C0D" w14:textId="77777777" w:rsidR="00A54782" w:rsidRPr="00BD1DAA" w:rsidRDefault="00A54782" w:rsidP="00A54782">
      <w:pPr>
        <w:tabs>
          <w:tab w:val="left" w:pos="4536"/>
        </w:tabs>
        <w:rPr>
          <w:rFonts w:ascii="Palatino" w:hAnsi="Palatino"/>
        </w:rPr>
      </w:pPr>
    </w:p>
    <w:p w14:paraId="112AD6C6" w14:textId="77777777" w:rsidR="00A54782" w:rsidRPr="00BD1DAA" w:rsidRDefault="00A54782" w:rsidP="00A54782">
      <w:pPr>
        <w:tabs>
          <w:tab w:val="left" w:pos="4536"/>
        </w:tabs>
        <w:jc w:val="center"/>
        <w:rPr>
          <w:rFonts w:ascii="Palatino" w:hAnsi="Palatino"/>
        </w:rPr>
      </w:pPr>
    </w:p>
    <w:p w14:paraId="337E1850" w14:textId="77777777" w:rsidR="00A54782" w:rsidRPr="00BD1DAA" w:rsidRDefault="00A54782" w:rsidP="00A54782">
      <w:pPr>
        <w:tabs>
          <w:tab w:val="left" w:pos="4536"/>
        </w:tabs>
        <w:rPr>
          <w:rFonts w:ascii="Palatino" w:hAnsi="Palatino"/>
        </w:rPr>
      </w:pPr>
    </w:p>
    <w:p w14:paraId="07777940" w14:textId="77777777" w:rsidR="00A54782" w:rsidRPr="00BD1DAA" w:rsidRDefault="00A54782" w:rsidP="00A54782">
      <w:pPr>
        <w:tabs>
          <w:tab w:val="left" w:pos="4536"/>
        </w:tabs>
        <w:jc w:val="center"/>
        <w:rPr>
          <w:rFonts w:ascii="Palatino" w:hAnsi="Palatino"/>
        </w:rPr>
      </w:pPr>
    </w:p>
    <w:p w14:paraId="0D734AF8" w14:textId="77777777" w:rsidR="00A54782" w:rsidRPr="00BD1DAA" w:rsidRDefault="00A54782" w:rsidP="00A54782">
      <w:pPr>
        <w:tabs>
          <w:tab w:val="left" w:pos="4536"/>
        </w:tabs>
        <w:jc w:val="center"/>
        <w:rPr>
          <w:rFonts w:ascii="Palatino" w:hAnsi="Palatino"/>
        </w:rPr>
      </w:pPr>
    </w:p>
    <w:p w14:paraId="1B0FC0D9" w14:textId="77777777" w:rsidR="00A54782" w:rsidRPr="00BD1DAA" w:rsidRDefault="00A54782" w:rsidP="00A54782">
      <w:pPr>
        <w:tabs>
          <w:tab w:val="left" w:pos="4536"/>
        </w:tabs>
        <w:jc w:val="center"/>
        <w:rPr>
          <w:rFonts w:ascii="Palatino" w:hAnsi="Palatino"/>
        </w:rPr>
      </w:pPr>
    </w:p>
    <w:p w14:paraId="4665F383" w14:textId="77777777" w:rsidR="00A54782" w:rsidRPr="00BD1DAA" w:rsidRDefault="00A54782" w:rsidP="00A54782">
      <w:pPr>
        <w:tabs>
          <w:tab w:val="left" w:pos="4536"/>
        </w:tabs>
        <w:jc w:val="center"/>
        <w:rPr>
          <w:rFonts w:ascii="Palatino" w:hAnsi="Palatino"/>
        </w:rPr>
      </w:pPr>
    </w:p>
    <w:p w14:paraId="503BC8A6" w14:textId="77777777" w:rsidR="00A54782" w:rsidRPr="00BD1DAA" w:rsidRDefault="00A54782" w:rsidP="00A54782">
      <w:pPr>
        <w:tabs>
          <w:tab w:val="left" w:pos="4536"/>
        </w:tabs>
        <w:jc w:val="center"/>
        <w:rPr>
          <w:rFonts w:ascii="Palatino" w:hAnsi="Palatino"/>
        </w:rPr>
      </w:pPr>
    </w:p>
    <w:p w14:paraId="208D5CE7" w14:textId="77777777" w:rsidR="00A54782" w:rsidRPr="00BD1DAA" w:rsidRDefault="00A54782" w:rsidP="00A54782">
      <w:pPr>
        <w:tabs>
          <w:tab w:val="left" w:pos="4536"/>
        </w:tabs>
        <w:jc w:val="center"/>
        <w:rPr>
          <w:rFonts w:ascii="Palatino" w:hAnsi="Palatino"/>
        </w:rPr>
      </w:pPr>
    </w:p>
    <w:p w14:paraId="6A31C02A" w14:textId="77777777" w:rsidR="00A54782" w:rsidRPr="00BD1DAA" w:rsidRDefault="00A54782" w:rsidP="00A54782">
      <w:pPr>
        <w:tabs>
          <w:tab w:val="left" w:pos="4536"/>
        </w:tabs>
        <w:jc w:val="center"/>
        <w:rPr>
          <w:rFonts w:ascii="Palatino" w:hAnsi="Palatino"/>
        </w:rPr>
      </w:pPr>
    </w:p>
    <w:p w14:paraId="11A5F895" w14:textId="77777777" w:rsidR="00BD1DAA" w:rsidRPr="00BD1DAA" w:rsidRDefault="00A54782" w:rsidP="00BD1DAA">
      <w:pPr>
        <w:tabs>
          <w:tab w:val="left" w:pos="4536"/>
        </w:tabs>
        <w:jc w:val="center"/>
        <w:rPr>
          <w:rFonts w:ascii="Palatino" w:hAnsi="Palatino"/>
          <w:sz w:val="28"/>
          <w:szCs w:val="28"/>
        </w:rPr>
      </w:pPr>
      <w:r w:rsidRPr="00BD1DAA">
        <w:rPr>
          <w:rFonts w:ascii="Palatino" w:hAnsi="Palatino"/>
          <w:sz w:val="28"/>
          <w:szCs w:val="28"/>
        </w:rPr>
        <w:t>Praha 2021</w:t>
      </w:r>
      <w:r w:rsidR="00BD1DAA">
        <w:rPr>
          <w:rFonts w:ascii="Palatino" w:hAnsi="Palatino"/>
          <w:sz w:val="28"/>
          <w:szCs w:val="28"/>
        </w:rPr>
        <w:br w:type="page"/>
      </w:r>
    </w:p>
    <w:p w14:paraId="273E2022" w14:textId="77777777" w:rsidR="00813C18" w:rsidRDefault="00BD1DAA" w:rsidP="00813C18">
      <w:pPr>
        <w:pStyle w:val="Nadpis1"/>
      </w:pPr>
      <w:bookmarkStart w:id="1" w:name="_Toc72275234"/>
      <w:r>
        <w:lastRenderedPageBreak/>
        <w:t>A</w:t>
      </w:r>
      <w:r w:rsidR="00813C18">
        <w:t>bstrakt</w:t>
      </w:r>
      <w:bookmarkEnd w:id="1"/>
    </w:p>
    <w:p w14:paraId="15636E14" w14:textId="77777777" w:rsidR="005E2ABB" w:rsidRDefault="005E2ABB" w:rsidP="005E2ABB"/>
    <w:p w14:paraId="1BF45986" w14:textId="77777777" w:rsidR="009E6C9E" w:rsidRDefault="00B500A2" w:rsidP="009E6C9E">
      <w:pPr>
        <w:spacing w:line="360" w:lineRule="auto"/>
        <w:ind w:firstLine="708"/>
        <w:jc w:val="both"/>
        <w:rPr>
          <w:rFonts w:ascii="Palatino" w:hAnsi="Palatino"/>
        </w:rPr>
        <w:sectPr w:rsidR="009E6C9E" w:rsidSect="008C2506">
          <w:headerReference w:type="default" r:id="rId9"/>
          <w:footerReference w:type="even" r:id="rId10"/>
          <w:pgSz w:w="11900" w:h="16840"/>
          <w:pgMar w:top="1417" w:right="1417" w:bottom="1417" w:left="1417" w:header="708" w:footer="708" w:gutter="0"/>
          <w:cols w:space="708"/>
          <w:docGrid w:linePitch="360"/>
        </w:sectPr>
      </w:pPr>
      <w:r w:rsidRPr="00833D6C">
        <w:rPr>
          <w:rFonts w:ascii="Palatino" w:hAnsi="Palatino"/>
        </w:rPr>
        <w:t xml:space="preserve">V této závěrečné proseminární kompilaci </w:t>
      </w:r>
      <w:r w:rsidR="00344029" w:rsidRPr="00833D6C">
        <w:rPr>
          <w:rFonts w:ascii="Palatino" w:hAnsi="Palatino"/>
        </w:rPr>
        <w:t xml:space="preserve">budu popisovat </w:t>
      </w:r>
      <w:r w:rsidR="00432C68">
        <w:rPr>
          <w:rFonts w:ascii="Palatino" w:hAnsi="Palatino"/>
        </w:rPr>
        <w:t>dva</w:t>
      </w:r>
      <w:r w:rsidR="00344029" w:rsidRPr="00833D6C">
        <w:rPr>
          <w:rFonts w:ascii="Palatino" w:hAnsi="Palatino"/>
        </w:rPr>
        <w:t xml:space="preserve"> antropologické</w:t>
      </w:r>
      <w:r w:rsidR="00833D6C" w:rsidRPr="00833D6C">
        <w:rPr>
          <w:rFonts w:ascii="Palatino" w:hAnsi="Palatino"/>
        </w:rPr>
        <w:t xml:space="preserve"> přístupy k</w:t>
      </w:r>
      <w:r w:rsidR="00833D6C">
        <w:rPr>
          <w:rFonts w:ascii="Palatino" w:hAnsi="Palatino"/>
        </w:rPr>
        <w:t xml:space="preserve"> výzkumu </w:t>
      </w:r>
      <w:r w:rsidR="00806170">
        <w:rPr>
          <w:rFonts w:ascii="Palatino" w:hAnsi="Palatino"/>
        </w:rPr>
        <w:t>kouření tabák</w:t>
      </w:r>
      <w:r w:rsidR="00BD1DAA">
        <w:rPr>
          <w:rFonts w:ascii="Palatino" w:hAnsi="Palatino"/>
        </w:rPr>
        <w:t>u a budu hledat, jaké sociální a kulturní faktory – ať již lokální - ovlivňující jedince, či globální - ovlivňující celou společnost – vedoucí ke vzniku a rozvoji závislosti na kouření tabáku, dle těchto přístupů přispívají</w:t>
      </w:r>
      <w:r w:rsidR="00E337DC">
        <w:rPr>
          <w:rFonts w:ascii="Palatino" w:hAnsi="Palatino"/>
        </w:rPr>
        <w:t>.</w:t>
      </w:r>
    </w:p>
    <w:p w14:paraId="0AEC230D" w14:textId="748B381B" w:rsidR="00BD1DAA" w:rsidRDefault="009E6C9E" w:rsidP="009E6C9E">
      <w:pPr>
        <w:spacing w:line="360" w:lineRule="auto"/>
        <w:ind w:firstLine="708"/>
        <w:jc w:val="both"/>
        <w:rPr>
          <w:rFonts w:ascii="Palatino" w:hAnsi="Palatino"/>
        </w:rPr>
        <w:sectPr w:rsidR="00BD1DAA" w:rsidSect="009E6C9E">
          <w:type w:val="continuous"/>
          <w:pgSz w:w="11900" w:h="16840"/>
          <w:pgMar w:top="1417" w:right="1417" w:bottom="1417" w:left="1417" w:header="708" w:footer="708" w:gutter="0"/>
          <w:cols w:space="708"/>
          <w:docGrid w:linePitch="360"/>
        </w:sectPr>
      </w:pPr>
      <w:r>
        <w:rPr>
          <w:rFonts w:ascii="Palatino" w:hAnsi="Palatino"/>
        </w:rPr>
        <w:t xml:space="preserve"> </w:t>
      </w:r>
    </w:p>
    <w:sdt>
      <w:sdtPr>
        <w:rPr>
          <w:rFonts w:asciiTheme="minorHAnsi" w:eastAsiaTheme="minorHAnsi" w:hAnsiTheme="minorHAnsi" w:cstheme="minorBidi"/>
          <w:b w:val="0"/>
          <w:bCs w:val="0"/>
          <w:color w:val="auto"/>
          <w:sz w:val="24"/>
          <w:szCs w:val="24"/>
          <w:lang w:eastAsia="en-US"/>
        </w:rPr>
        <w:id w:val="-1210192530"/>
        <w:docPartObj>
          <w:docPartGallery w:val="Table of Contents"/>
          <w:docPartUnique/>
        </w:docPartObj>
      </w:sdtPr>
      <w:sdtEndPr/>
      <w:sdtContent>
        <w:p w14:paraId="254F0A34" w14:textId="631419BF" w:rsidR="009E6C9E" w:rsidRPr="009E6C9E" w:rsidRDefault="0056254D" w:rsidP="009E6C9E">
          <w:pPr>
            <w:pStyle w:val="Nadpisobsahu"/>
          </w:pPr>
          <w:r>
            <w:t>Obsah</w:t>
          </w:r>
          <w:r>
            <w:rPr>
              <w:b w:val="0"/>
              <w:bCs w:val="0"/>
            </w:rPr>
            <w:fldChar w:fldCharType="begin"/>
          </w:r>
          <w:r>
            <w:instrText>TOC \o "1-3" \h \z \u</w:instrText>
          </w:r>
          <w:r>
            <w:rPr>
              <w:b w:val="0"/>
              <w:bCs w:val="0"/>
            </w:rPr>
            <w:fldChar w:fldCharType="separate"/>
          </w:r>
        </w:p>
        <w:p w14:paraId="64472649" w14:textId="7CFF5A63" w:rsidR="009E6C9E" w:rsidRDefault="002D71A3">
          <w:pPr>
            <w:pStyle w:val="Obsah1"/>
            <w:tabs>
              <w:tab w:val="right" w:leader="dot" w:pos="9056"/>
            </w:tabs>
            <w:rPr>
              <w:rFonts w:eastAsiaTheme="minorEastAsia" w:cstheme="minorBidi"/>
              <w:b w:val="0"/>
              <w:bCs w:val="0"/>
              <w:caps w:val="0"/>
              <w:noProof/>
              <w:sz w:val="24"/>
              <w:szCs w:val="24"/>
              <w:lang w:eastAsia="cs-CZ"/>
            </w:rPr>
          </w:pPr>
          <w:hyperlink w:anchor="_Toc72275235" w:history="1">
            <w:r w:rsidR="009E6C9E" w:rsidRPr="003D1E31">
              <w:rPr>
                <w:rStyle w:val="Hypertextovodkaz"/>
                <w:noProof/>
              </w:rPr>
              <w:t>1. Úvod</w:t>
            </w:r>
            <w:r w:rsidR="009E6C9E">
              <w:rPr>
                <w:noProof/>
                <w:webHidden/>
              </w:rPr>
              <w:tab/>
            </w:r>
            <w:r w:rsidR="009E6C9E">
              <w:rPr>
                <w:noProof/>
                <w:webHidden/>
              </w:rPr>
              <w:fldChar w:fldCharType="begin"/>
            </w:r>
            <w:r w:rsidR="009E6C9E">
              <w:rPr>
                <w:noProof/>
                <w:webHidden/>
              </w:rPr>
              <w:instrText xml:space="preserve"> PAGEREF _Toc72275235 \h </w:instrText>
            </w:r>
            <w:r w:rsidR="009E6C9E">
              <w:rPr>
                <w:noProof/>
                <w:webHidden/>
              </w:rPr>
            </w:r>
            <w:r w:rsidR="009E6C9E">
              <w:rPr>
                <w:noProof/>
                <w:webHidden/>
              </w:rPr>
              <w:fldChar w:fldCharType="separate"/>
            </w:r>
            <w:r w:rsidR="009E6C9E">
              <w:rPr>
                <w:noProof/>
                <w:webHidden/>
              </w:rPr>
              <w:t>1</w:t>
            </w:r>
            <w:r w:rsidR="009E6C9E">
              <w:rPr>
                <w:noProof/>
                <w:webHidden/>
              </w:rPr>
              <w:fldChar w:fldCharType="end"/>
            </w:r>
          </w:hyperlink>
        </w:p>
        <w:p w14:paraId="18949D9B" w14:textId="5A9D2AE7" w:rsidR="009E6C9E" w:rsidRDefault="002D71A3">
          <w:pPr>
            <w:pStyle w:val="Obsah1"/>
            <w:tabs>
              <w:tab w:val="right" w:leader="dot" w:pos="9056"/>
            </w:tabs>
            <w:rPr>
              <w:rFonts w:eastAsiaTheme="minorEastAsia" w:cstheme="minorBidi"/>
              <w:b w:val="0"/>
              <w:bCs w:val="0"/>
              <w:caps w:val="0"/>
              <w:noProof/>
              <w:sz w:val="24"/>
              <w:szCs w:val="24"/>
              <w:lang w:eastAsia="cs-CZ"/>
            </w:rPr>
          </w:pPr>
          <w:hyperlink w:anchor="_Toc72275236" w:history="1">
            <w:r w:rsidR="009E6C9E" w:rsidRPr="003D1E31">
              <w:rPr>
                <w:rStyle w:val="Hypertextovodkaz"/>
                <w:noProof/>
              </w:rPr>
              <w:t>2. Teoretická část</w:t>
            </w:r>
            <w:r w:rsidR="009E6C9E">
              <w:rPr>
                <w:noProof/>
                <w:webHidden/>
              </w:rPr>
              <w:tab/>
            </w:r>
            <w:r w:rsidR="009E6C9E">
              <w:rPr>
                <w:noProof/>
                <w:webHidden/>
              </w:rPr>
              <w:fldChar w:fldCharType="begin"/>
            </w:r>
            <w:r w:rsidR="009E6C9E">
              <w:rPr>
                <w:noProof/>
                <w:webHidden/>
              </w:rPr>
              <w:instrText xml:space="preserve"> PAGEREF _Toc72275236 \h </w:instrText>
            </w:r>
            <w:r w:rsidR="009E6C9E">
              <w:rPr>
                <w:noProof/>
                <w:webHidden/>
              </w:rPr>
            </w:r>
            <w:r w:rsidR="009E6C9E">
              <w:rPr>
                <w:noProof/>
                <w:webHidden/>
              </w:rPr>
              <w:fldChar w:fldCharType="separate"/>
            </w:r>
            <w:r w:rsidR="009E6C9E">
              <w:rPr>
                <w:noProof/>
                <w:webHidden/>
              </w:rPr>
              <w:t>2</w:t>
            </w:r>
            <w:r w:rsidR="009E6C9E">
              <w:rPr>
                <w:noProof/>
                <w:webHidden/>
              </w:rPr>
              <w:fldChar w:fldCharType="end"/>
            </w:r>
          </w:hyperlink>
        </w:p>
        <w:p w14:paraId="186F0A0B" w14:textId="51F1940B" w:rsidR="009E6C9E" w:rsidRDefault="002D71A3">
          <w:pPr>
            <w:pStyle w:val="Obsah2"/>
            <w:tabs>
              <w:tab w:val="right" w:leader="dot" w:pos="9056"/>
            </w:tabs>
            <w:rPr>
              <w:rFonts w:eastAsiaTheme="minorEastAsia" w:cstheme="minorBidi"/>
              <w:smallCaps w:val="0"/>
              <w:noProof/>
              <w:sz w:val="24"/>
              <w:szCs w:val="24"/>
              <w:lang w:eastAsia="cs-CZ"/>
            </w:rPr>
          </w:pPr>
          <w:hyperlink w:anchor="_Toc72275237" w:history="1">
            <w:r w:rsidR="009E6C9E" w:rsidRPr="003D1E31">
              <w:rPr>
                <w:rStyle w:val="Hypertextovodkaz"/>
                <w:noProof/>
              </w:rPr>
              <w:t>2.1 Merril Singer: globální ekonomika kouření a některé kulturní aspekty</w:t>
            </w:r>
            <w:r w:rsidR="009E6C9E">
              <w:rPr>
                <w:noProof/>
                <w:webHidden/>
              </w:rPr>
              <w:tab/>
            </w:r>
            <w:r w:rsidR="009E6C9E">
              <w:rPr>
                <w:noProof/>
                <w:webHidden/>
              </w:rPr>
              <w:fldChar w:fldCharType="begin"/>
            </w:r>
            <w:r w:rsidR="009E6C9E">
              <w:rPr>
                <w:noProof/>
                <w:webHidden/>
              </w:rPr>
              <w:instrText xml:space="preserve"> PAGEREF _Toc72275237 \h </w:instrText>
            </w:r>
            <w:r w:rsidR="009E6C9E">
              <w:rPr>
                <w:noProof/>
                <w:webHidden/>
              </w:rPr>
            </w:r>
            <w:r w:rsidR="009E6C9E">
              <w:rPr>
                <w:noProof/>
                <w:webHidden/>
              </w:rPr>
              <w:fldChar w:fldCharType="separate"/>
            </w:r>
            <w:r w:rsidR="009E6C9E">
              <w:rPr>
                <w:noProof/>
                <w:webHidden/>
              </w:rPr>
              <w:t>2</w:t>
            </w:r>
            <w:r w:rsidR="009E6C9E">
              <w:rPr>
                <w:noProof/>
                <w:webHidden/>
              </w:rPr>
              <w:fldChar w:fldCharType="end"/>
            </w:r>
          </w:hyperlink>
        </w:p>
        <w:p w14:paraId="76E10D74" w14:textId="0B94DE9B" w:rsidR="009E6C9E" w:rsidRDefault="002D71A3">
          <w:pPr>
            <w:pStyle w:val="Obsah2"/>
            <w:tabs>
              <w:tab w:val="right" w:leader="dot" w:pos="9056"/>
            </w:tabs>
            <w:rPr>
              <w:rFonts w:eastAsiaTheme="minorEastAsia" w:cstheme="minorBidi"/>
              <w:smallCaps w:val="0"/>
              <w:noProof/>
              <w:sz w:val="24"/>
              <w:szCs w:val="24"/>
              <w:lang w:eastAsia="cs-CZ"/>
            </w:rPr>
          </w:pPr>
          <w:hyperlink w:anchor="_Toc72275238" w:history="1">
            <w:r w:rsidR="009E6C9E" w:rsidRPr="003D1E31">
              <w:rPr>
                <w:rStyle w:val="Hypertextovodkaz"/>
                <w:noProof/>
              </w:rPr>
              <w:t>2.2 Mark Nichter: vliv rodinných faktorů a etnicity</w:t>
            </w:r>
            <w:r w:rsidR="009E6C9E">
              <w:rPr>
                <w:noProof/>
                <w:webHidden/>
              </w:rPr>
              <w:tab/>
            </w:r>
            <w:r w:rsidR="009E6C9E">
              <w:rPr>
                <w:noProof/>
                <w:webHidden/>
              </w:rPr>
              <w:fldChar w:fldCharType="begin"/>
            </w:r>
            <w:r w:rsidR="009E6C9E">
              <w:rPr>
                <w:noProof/>
                <w:webHidden/>
              </w:rPr>
              <w:instrText xml:space="preserve"> PAGEREF _Toc72275238 \h </w:instrText>
            </w:r>
            <w:r w:rsidR="009E6C9E">
              <w:rPr>
                <w:noProof/>
                <w:webHidden/>
              </w:rPr>
            </w:r>
            <w:r w:rsidR="009E6C9E">
              <w:rPr>
                <w:noProof/>
                <w:webHidden/>
              </w:rPr>
              <w:fldChar w:fldCharType="separate"/>
            </w:r>
            <w:r w:rsidR="009E6C9E">
              <w:rPr>
                <w:noProof/>
                <w:webHidden/>
              </w:rPr>
              <w:t>3</w:t>
            </w:r>
            <w:r w:rsidR="009E6C9E">
              <w:rPr>
                <w:noProof/>
                <w:webHidden/>
              </w:rPr>
              <w:fldChar w:fldCharType="end"/>
            </w:r>
          </w:hyperlink>
        </w:p>
        <w:p w14:paraId="32CE0398" w14:textId="54E3F4F4" w:rsidR="009E6C9E" w:rsidRDefault="002D71A3">
          <w:pPr>
            <w:pStyle w:val="Obsah1"/>
            <w:tabs>
              <w:tab w:val="right" w:leader="dot" w:pos="9056"/>
            </w:tabs>
            <w:rPr>
              <w:rFonts w:eastAsiaTheme="minorEastAsia" w:cstheme="minorBidi"/>
              <w:b w:val="0"/>
              <w:bCs w:val="0"/>
              <w:caps w:val="0"/>
              <w:noProof/>
              <w:sz w:val="24"/>
              <w:szCs w:val="24"/>
              <w:lang w:eastAsia="cs-CZ"/>
            </w:rPr>
          </w:pPr>
          <w:hyperlink w:anchor="_Toc72275239" w:history="1">
            <w:r w:rsidR="009E6C9E" w:rsidRPr="003D1E31">
              <w:rPr>
                <w:rStyle w:val="Hypertextovodkaz"/>
                <w:noProof/>
              </w:rPr>
              <w:t>3. Závěr</w:t>
            </w:r>
            <w:r w:rsidR="009E6C9E">
              <w:rPr>
                <w:noProof/>
                <w:webHidden/>
              </w:rPr>
              <w:tab/>
            </w:r>
            <w:r w:rsidR="009E6C9E">
              <w:rPr>
                <w:noProof/>
                <w:webHidden/>
              </w:rPr>
              <w:fldChar w:fldCharType="begin"/>
            </w:r>
            <w:r w:rsidR="009E6C9E">
              <w:rPr>
                <w:noProof/>
                <w:webHidden/>
              </w:rPr>
              <w:instrText xml:space="preserve"> PAGEREF _Toc72275239 \h </w:instrText>
            </w:r>
            <w:r w:rsidR="009E6C9E">
              <w:rPr>
                <w:noProof/>
                <w:webHidden/>
              </w:rPr>
            </w:r>
            <w:r w:rsidR="009E6C9E">
              <w:rPr>
                <w:noProof/>
                <w:webHidden/>
              </w:rPr>
              <w:fldChar w:fldCharType="separate"/>
            </w:r>
            <w:r w:rsidR="009E6C9E">
              <w:rPr>
                <w:noProof/>
                <w:webHidden/>
              </w:rPr>
              <w:t>5</w:t>
            </w:r>
            <w:r w:rsidR="009E6C9E">
              <w:rPr>
                <w:noProof/>
                <w:webHidden/>
              </w:rPr>
              <w:fldChar w:fldCharType="end"/>
            </w:r>
          </w:hyperlink>
        </w:p>
        <w:p w14:paraId="246C99CA" w14:textId="7A9ABF81" w:rsidR="009E6C9E" w:rsidRDefault="002D71A3">
          <w:pPr>
            <w:pStyle w:val="Obsah1"/>
            <w:tabs>
              <w:tab w:val="right" w:leader="dot" w:pos="9056"/>
            </w:tabs>
            <w:rPr>
              <w:rFonts w:eastAsiaTheme="minorEastAsia" w:cstheme="minorBidi"/>
              <w:b w:val="0"/>
              <w:bCs w:val="0"/>
              <w:caps w:val="0"/>
              <w:noProof/>
              <w:sz w:val="24"/>
              <w:szCs w:val="24"/>
              <w:lang w:eastAsia="cs-CZ"/>
            </w:rPr>
          </w:pPr>
          <w:hyperlink w:anchor="_Toc72275240" w:history="1">
            <w:r w:rsidR="009E6C9E" w:rsidRPr="003D1E31">
              <w:rPr>
                <w:rStyle w:val="Hypertextovodkaz"/>
                <w:noProof/>
              </w:rPr>
              <w:t>Bibliografie</w:t>
            </w:r>
            <w:r w:rsidR="009E6C9E">
              <w:rPr>
                <w:noProof/>
                <w:webHidden/>
              </w:rPr>
              <w:tab/>
            </w:r>
            <w:r w:rsidR="009E6C9E">
              <w:rPr>
                <w:noProof/>
                <w:webHidden/>
              </w:rPr>
              <w:fldChar w:fldCharType="begin"/>
            </w:r>
            <w:r w:rsidR="009E6C9E">
              <w:rPr>
                <w:noProof/>
                <w:webHidden/>
              </w:rPr>
              <w:instrText xml:space="preserve"> PAGEREF _Toc72275240 \h </w:instrText>
            </w:r>
            <w:r w:rsidR="009E6C9E">
              <w:rPr>
                <w:noProof/>
                <w:webHidden/>
              </w:rPr>
            </w:r>
            <w:r w:rsidR="009E6C9E">
              <w:rPr>
                <w:noProof/>
                <w:webHidden/>
              </w:rPr>
              <w:fldChar w:fldCharType="separate"/>
            </w:r>
            <w:r w:rsidR="009E6C9E">
              <w:rPr>
                <w:noProof/>
                <w:webHidden/>
              </w:rPr>
              <w:t>5</w:t>
            </w:r>
            <w:r w:rsidR="009E6C9E">
              <w:rPr>
                <w:noProof/>
                <w:webHidden/>
              </w:rPr>
              <w:fldChar w:fldCharType="end"/>
            </w:r>
          </w:hyperlink>
        </w:p>
        <w:p w14:paraId="095AF6CF" w14:textId="75549D5E" w:rsidR="002F084A" w:rsidRPr="001E35E8" w:rsidRDefault="0056254D" w:rsidP="001E35E8">
          <w:r>
            <w:rPr>
              <w:b/>
              <w:bCs/>
            </w:rPr>
            <w:fldChar w:fldCharType="end"/>
          </w:r>
        </w:p>
      </w:sdtContent>
    </w:sdt>
    <w:p w14:paraId="01BB1F25" w14:textId="77777777" w:rsidR="005E2ABB" w:rsidRPr="00062265" w:rsidRDefault="00AC235C" w:rsidP="00062265">
      <w:pPr>
        <w:pStyle w:val="Nadpis1"/>
      </w:pPr>
      <w:bookmarkStart w:id="2" w:name="_Toc72275235"/>
      <w:r>
        <w:t xml:space="preserve">1. </w:t>
      </w:r>
      <w:r w:rsidR="00062265">
        <w:t>Úvod</w:t>
      </w:r>
      <w:bookmarkEnd w:id="2"/>
    </w:p>
    <w:p w14:paraId="02A68DE9" w14:textId="77777777" w:rsidR="00BD1DAA" w:rsidRDefault="00BD1DAA" w:rsidP="00BD1DAA">
      <w:pPr>
        <w:spacing w:line="360" w:lineRule="auto"/>
        <w:jc w:val="both"/>
      </w:pPr>
    </w:p>
    <w:p w14:paraId="4A9ED15A" w14:textId="0C8B6139" w:rsidR="00BD1DAA" w:rsidRDefault="00BD1DAA" w:rsidP="00BD1DAA">
      <w:pPr>
        <w:spacing w:line="360" w:lineRule="auto"/>
        <w:ind w:firstLine="708"/>
        <w:jc w:val="both"/>
        <w:rPr>
          <w:rFonts w:ascii="Palatino" w:hAnsi="Palatino"/>
        </w:rPr>
      </w:pPr>
      <w:r w:rsidRPr="00E5447F">
        <w:rPr>
          <w:rFonts w:ascii="Palatino" w:hAnsi="Palatino"/>
        </w:rPr>
        <w:t xml:space="preserve">Tabák je patrně jediným </w:t>
      </w:r>
      <w:r w:rsidR="00431B0E">
        <w:rPr>
          <w:rFonts w:ascii="Palatino" w:hAnsi="Palatino"/>
        </w:rPr>
        <w:t xml:space="preserve">běžně </w:t>
      </w:r>
      <w:r w:rsidRPr="00E5447F">
        <w:rPr>
          <w:rFonts w:ascii="Palatino" w:hAnsi="Palatino"/>
        </w:rPr>
        <w:t xml:space="preserve">prodávaným produktem, který při výrobcem předpokládaném použití </w:t>
      </w:r>
      <w:r>
        <w:rPr>
          <w:rFonts w:ascii="Palatino" w:hAnsi="Palatino"/>
        </w:rPr>
        <w:t>– v případě této práce kouřením</w:t>
      </w:r>
      <w:r>
        <w:rPr>
          <w:rStyle w:val="Znakapoznpodarou"/>
          <w:rFonts w:ascii="Palatino" w:hAnsi="Palatino"/>
        </w:rPr>
        <w:footnoteReference w:id="1"/>
      </w:r>
      <w:r>
        <w:rPr>
          <w:rFonts w:ascii="Palatino" w:hAnsi="Palatino"/>
        </w:rPr>
        <w:t xml:space="preserve"> – </w:t>
      </w:r>
      <w:r w:rsidRPr="00E5447F">
        <w:rPr>
          <w:rFonts w:ascii="Palatino" w:hAnsi="Palatino"/>
        </w:rPr>
        <w:t xml:space="preserve">nevyhnutelně přivodí konzumentu zdravotní obtíže </w:t>
      </w:r>
      <w:r>
        <w:rPr>
          <w:rFonts w:ascii="Palatino" w:hAnsi="Palatino"/>
        </w:rPr>
        <w:t>či též</w:t>
      </w:r>
      <w:r w:rsidRPr="00E5447F">
        <w:rPr>
          <w:rFonts w:ascii="Palatino" w:hAnsi="Palatino"/>
        </w:rPr>
        <w:t xml:space="preserve"> smrt. Navíc – na rozdíl od</w:t>
      </w:r>
      <w:r>
        <w:rPr>
          <w:rFonts w:ascii="Palatino" w:hAnsi="Palatino"/>
        </w:rPr>
        <w:t xml:space="preserve"> mnohých</w:t>
      </w:r>
      <w:r w:rsidRPr="00E5447F">
        <w:rPr>
          <w:rFonts w:ascii="Palatino" w:hAnsi="Palatino"/>
        </w:rPr>
        <w:t xml:space="preserve"> </w:t>
      </w:r>
      <w:r>
        <w:rPr>
          <w:rFonts w:ascii="Palatino" w:hAnsi="Palatino"/>
        </w:rPr>
        <w:t>ostatních</w:t>
      </w:r>
      <w:r w:rsidRPr="00E5447F">
        <w:rPr>
          <w:rFonts w:ascii="Palatino" w:hAnsi="Palatino"/>
        </w:rPr>
        <w:t xml:space="preserve"> nemocí – jsou zdravotní následky </w:t>
      </w:r>
      <w:r>
        <w:rPr>
          <w:rFonts w:ascii="Palatino" w:hAnsi="Palatino"/>
        </w:rPr>
        <w:t>kouření</w:t>
      </w:r>
      <w:r w:rsidRPr="00E5447F">
        <w:rPr>
          <w:rFonts w:ascii="Palatino" w:hAnsi="Palatino"/>
        </w:rPr>
        <w:t xml:space="preserve"> přímo návazné na lidské myšlení a chování</w:t>
      </w:r>
      <w:r>
        <w:rPr>
          <w:rFonts w:ascii="Palatino" w:hAnsi="Palatino"/>
        </w:rPr>
        <w:t>. (Singer 2004, s. 518)</w:t>
      </w:r>
    </w:p>
    <w:p w14:paraId="49D252E4" w14:textId="1FD0A6C4" w:rsidR="00BD1DAA" w:rsidRDefault="00BD1DAA" w:rsidP="00BD1DAA">
      <w:pPr>
        <w:spacing w:line="360" w:lineRule="auto"/>
        <w:ind w:firstLine="708"/>
        <w:jc w:val="both"/>
        <w:rPr>
          <w:rFonts w:ascii="Palatino" w:hAnsi="Palatino"/>
        </w:rPr>
      </w:pPr>
      <w:r w:rsidRPr="00E5447F">
        <w:rPr>
          <w:rFonts w:ascii="Palatino" w:hAnsi="Palatino"/>
        </w:rPr>
        <w:t>Následky kouření na zdraví jsou v dnešní době široce známé; mezi nejzávažnější choroby způsobené kouřením pak patří ischemická choroba srdeční, rakovina plic a chronický kašel. Dalšími závažnými chorobami způsobenými či prohloub</w:t>
      </w:r>
      <w:r w:rsidR="009776C4">
        <w:rPr>
          <w:rFonts w:ascii="Palatino" w:hAnsi="Palatino"/>
        </w:rPr>
        <w:t>ova</w:t>
      </w:r>
      <w:r w:rsidRPr="00E5447F">
        <w:rPr>
          <w:rFonts w:ascii="Palatino" w:hAnsi="Palatino"/>
        </w:rPr>
        <w:t>nými kouřením jsou pak mimo jiné ischemická choroba dolních končetin, vysoký krevní tlak, infarkt a rakovina úst, krku, jícnu a dalších orgánů. Kouření navíc dle Marka Nichtera a Elizabeth Catwrightové poškozuje též celé rodiny, a to ve třech směrech – způsobováním a prohlubováním vážných nemocí dospělých</w:t>
      </w:r>
      <w:r>
        <w:rPr>
          <w:rFonts w:ascii="Palatino" w:hAnsi="Palatino"/>
        </w:rPr>
        <w:t xml:space="preserve"> </w:t>
      </w:r>
      <w:r w:rsidRPr="00E5447F">
        <w:rPr>
          <w:rFonts w:ascii="Palatino" w:hAnsi="Palatino"/>
        </w:rPr>
        <w:t xml:space="preserve">omezuje či znemožňuje </w:t>
      </w:r>
      <w:r>
        <w:rPr>
          <w:rFonts w:ascii="Palatino" w:hAnsi="Palatino"/>
        </w:rPr>
        <w:t xml:space="preserve">jejich </w:t>
      </w:r>
      <w:r w:rsidRPr="00E5447F">
        <w:rPr>
          <w:rFonts w:ascii="Palatino" w:hAnsi="Palatino"/>
        </w:rPr>
        <w:t>péči o děti</w:t>
      </w:r>
      <w:r>
        <w:rPr>
          <w:rFonts w:ascii="Palatino" w:hAnsi="Palatino"/>
        </w:rPr>
        <w:t>;</w:t>
      </w:r>
      <w:r w:rsidRPr="00E5447F">
        <w:rPr>
          <w:rFonts w:ascii="Palatino" w:hAnsi="Palatino"/>
        </w:rPr>
        <w:t xml:space="preserve"> způsobuje nemalé náklady v rodinném rozpočtu, což omezuje možnosti zdraví podporujících investic</w:t>
      </w:r>
      <w:r>
        <w:rPr>
          <w:rFonts w:ascii="Palatino" w:hAnsi="Palatino"/>
        </w:rPr>
        <w:t>;</w:t>
      </w:r>
      <w:r w:rsidRPr="00E5447F">
        <w:rPr>
          <w:rFonts w:ascii="Palatino" w:hAnsi="Palatino"/>
        </w:rPr>
        <w:t xml:space="preserve"> a vystavuje děti pasivnímu kouření, které způsobuje </w:t>
      </w:r>
      <w:r>
        <w:rPr>
          <w:rFonts w:ascii="Palatino" w:hAnsi="Palatino"/>
        </w:rPr>
        <w:t>vedle týchž</w:t>
      </w:r>
      <w:r w:rsidRPr="00E5447F">
        <w:rPr>
          <w:rFonts w:ascii="Palatino" w:hAnsi="Palatino"/>
        </w:rPr>
        <w:t xml:space="preserve"> zdravotní</w:t>
      </w:r>
      <w:r>
        <w:rPr>
          <w:rFonts w:ascii="Palatino" w:hAnsi="Palatino"/>
        </w:rPr>
        <w:t>ch</w:t>
      </w:r>
      <w:r w:rsidRPr="00E5447F">
        <w:rPr>
          <w:rFonts w:ascii="Palatino" w:hAnsi="Palatino"/>
        </w:rPr>
        <w:t xml:space="preserve"> komplikac</w:t>
      </w:r>
      <w:r>
        <w:rPr>
          <w:rFonts w:ascii="Palatino" w:hAnsi="Palatino"/>
        </w:rPr>
        <w:t>í</w:t>
      </w:r>
      <w:r w:rsidRPr="00E5447F">
        <w:rPr>
          <w:rFonts w:ascii="Palatino" w:hAnsi="Palatino"/>
        </w:rPr>
        <w:t xml:space="preserve"> jako kouření přímé</w:t>
      </w:r>
      <w:r>
        <w:rPr>
          <w:rFonts w:ascii="Palatino" w:hAnsi="Palatino"/>
        </w:rPr>
        <w:t xml:space="preserve"> u dětí také syndrom náhlého úmrtí kojenců, chronické záněty středního ucha a choroby dýchacích cest včetně astmatu. (tamtéž, s. 518)</w:t>
      </w:r>
    </w:p>
    <w:p w14:paraId="24C2C7ED" w14:textId="77777777" w:rsidR="00BD1DAA" w:rsidRPr="00E5447F" w:rsidRDefault="00BD1DAA" w:rsidP="00BD1DAA">
      <w:pPr>
        <w:spacing w:line="360" w:lineRule="auto"/>
        <w:ind w:firstLine="708"/>
        <w:jc w:val="both"/>
        <w:rPr>
          <w:rFonts w:ascii="Palatino" w:hAnsi="Palatino"/>
        </w:rPr>
      </w:pPr>
      <w:r>
        <w:rPr>
          <w:rFonts w:ascii="Palatino" w:hAnsi="Palatino"/>
        </w:rPr>
        <w:t xml:space="preserve">Přes toto všechno kouření (v sociálním a kulturním kontextu) postrádá výraznější zájem antropologie a v západním světě, který je působištěm většiny </w:t>
      </w:r>
      <w:r>
        <w:rPr>
          <w:rFonts w:ascii="Palatino" w:hAnsi="Palatino"/>
        </w:rPr>
        <w:lastRenderedPageBreak/>
        <w:t xml:space="preserve">antropologů, není kouření s kulturním a sociálním kontextem nijak zásadně spojováno. </w:t>
      </w:r>
      <w:r>
        <w:rPr>
          <w:rFonts w:ascii="Palatino" w:hAnsi="Palatino"/>
        </w:rPr>
        <w:fldChar w:fldCharType="begin"/>
      </w:r>
      <w:r>
        <w:rPr>
          <w:rFonts w:ascii="Palatino" w:hAnsi="Palatino"/>
        </w:rPr>
        <w:instrText xml:space="preserve"> ADDIN ZOTERO_ITEM CSL_CITATION {"citationID":"dJhf9ov2","properties":{"formattedCitation":"(Singer 2004)","plainCitation":"(Singer 2004)","noteIndex":0},"citationItems":[{"id":17,"uris":["http://zotero.org/users/7740812/items/2HQGZFJ9"],"uri":["http://zotero.org/users/7740812/items/2HQGZFJ9"],"itemData":{"id":17,"type":"chapter","container-title":"Encyclopedia of Medical Anthropology: Health and Illness in the World’s Cultures Volume I: Topics Volume II: Cultures","event-place":"Boston, MA","ISBN":"978-0-387-29905-1","note":"DOI: 10.1007/0-387-29905-X_52","page":"518-528","publisher":"Springer US","publisher-place":"Boston, MA","title":"Tobacco Use in Medical Anthropological Perspective","URL":"https://doi.org/10.1007/0-387-29905-X_52","author":[{"family":"Singer","given":"Merrill"}],"editor":[{"family":"Ember","given":"Carol R."},{"family":"Ember","given":"Melvin"}],"issued":{"date-parts":[["2004"]]}}}],"schema":"https://github.com/citation-style-language/schema/raw/master/csl-citation.json"} </w:instrText>
      </w:r>
      <w:r>
        <w:rPr>
          <w:rFonts w:ascii="Palatino" w:hAnsi="Palatino"/>
        </w:rPr>
        <w:fldChar w:fldCharType="separate"/>
      </w:r>
      <w:r>
        <w:rPr>
          <w:rFonts w:ascii="Palatino" w:hAnsi="Palatino"/>
          <w:noProof/>
        </w:rPr>
        <w:t>(tamtéž, s. 518)</w:t>
      </w:r>
      <w:r>
        <w:rPr>
          <w:rFonts w:ascii="Palatino" w:hAnsi="Palatino"/>
        </w:rPr>
        <w:fldChar w:fldCharType="end"/>
      </w:r>
    </w:p>
    <w:p w14:paraId="5F7C936E" w14:textId="77777777" w:rsidR="001769CB" w:rsidRDefault="0003423A" w:rsidP="00062265">
      <w:pPr>
        <w:pStyle w:val="Nadpis1"/>
      </w:pPr>
      <w:bookmarkStart w:id="3" w:name="_Toc72275236"/>
      <w:r>
        <w:t xml:space="preserve">2. </w:t>
      </w:r>
      <w:r w:rsidR="001769CB">
        <w:t>Teoretická část</w:t>
      </w:r>
      <w:bookmarkEnd w:id="3"/>
    </w:p>
    <w:p w14:paraId="4930D5FA" w14:textId="77777777" w:rsidR="008E610B" w:rsidRDefault="008E610B" w:rsidP="001E35E8"/>
    <w:p w14:paraId="718DAAB0" w14:textId="77777777" w:rsidR="008E610B" w:rsidRDefault="008E610B" w:rsidP="008E610B">
      <w:pPr>
        <w:pStyle w:val="Nadpis2"/>
      </w:pPr>
      <w:bookmarkStart w:id="4" w:name="_Toc72275237"/>
      <w:r>
        <w:t>2.1 Merr</w:t>
      </w:r>
      <w:r w:rsidR="00142BCD">
        <w:t>il Singer</w:t>
      </w:r>
      <w:r w:rsidR="00BD1DAA">
        <w:t>: globální ekonomika kouření a některé kulturní aspekty</w:t>
      </w:r>
      <w:bookmarkEnd w:id="4"/>
    </w:p>
    <w:p w14:paraId="62DA1E18" w14:textId="77777777" w:rsidR="00BD1DAA" w:rsidRDefault="00BD1DAA" w:rsidP="00BD1DAA"/>
    <w:p w14:paraId="64C157CE" w14:textId="77777777" w:rsidR="00BD1DAA" w:rsidRPr="00BD1DAA" w:rsidRDefault="00BD1DAA" w:rsidP="00BD1DAA">
      <w:pPr>
        <w:pStyle w:val="Podnadpis"/>
        <w:rPr>
          <w:color w:val="2F5496" w:themeColor="accent1" w:themeShade="BF"/>
        </w:rPr>
      </w:pPr>
      <w:r w:rsidRPr="00BD1DAA">
        <w:rPr>
          <w:color w:val="2F5496" w:themeColor="accent1" w:themeShade="BF"/>
        </w:rPr>
        <w:t>2.1.</w:t>
      </w:r>
      <w:r>
        <w:rPr>
          <w:color w:val="2F5496" w:themeColor="accent1" w:themeShade="BF"/>
        </w:rPr>
        <w:t>1</w:t>
      </w:r>
      <w:r w:rsidRPr="00BD1DAA">
        <w:rPr>
          <w:color w:val="2F5496" w:themeColor="accent1" w:themeShade="BF"/>
        </w:rPr>
        <w:t xml:space="preserve"> </w:t>
      </w:r>
      <w:r>
        <w:rPr>
          <w:color w:val="2F5496" w:themeColor="accent1" w:themeShade="BF"/>
        </w:rPr>
        <w:t>H</w:t>
      </w:r>
      <w:r w:rsidRPr="00BD1DAA">
        <w:rPr>
          <w:color w:val="2F5496" w:themeColor="accent1" w:themeShade="BF"/>
        </w:rPr>
        <w:t>istorický vývoj rozšiřování kouření</w:t>
      </w:r>
    </w:p>
    <w:p w14:paraId="685278EA" w14:textId="77777777" w:rsidR="00BD1DAA" w:rsidRPr="00BD1DAA" w:rsidRDefault="00BD1DAA" w:rsidP="00BD1DAA"/>
    <w:p w14:paraId="3EF5853F" w14:textId="303A6AF3" w:rsidR="00BD1DAA" w:rsidRDefault="00BD1DAA" w:rsidP="00BD1DAA">
      <w:pPr>
        <w:spacing w:line="360" w:lineRule="auto"/>
        <w:ind w:firstLine="708"/>
        <w:jc w:val="both"/>
        <w:rPr>
          <w:rFonts w:ascii="Palatino" w:hAnsi="Palatino"/>
        </w:rPr>
      </w:pPr>
      <w:r w:rsidRPr="009050F9">
        <w:rPr>
          <w:rFonts w:ascii="Palatino" w:hAnsi="Palatino"/>
        </w:rPr>
        <w:t>Poprvé se tabák objevil v Evropě, když jej sem přivezl Kryštof Kolumbus z Ameriky od kmene Arawak, který jej kouřil pro uvolnění, relaxaci a pro snadnější usínání. V roce 1560 se z Portugalska kouření rozšířilo do Francie, o rok později do Itálie a ke konci století bylo široce známé a medicínsky používané po celé Evropě. Záhy se však začalo s poznatky o psychoaktivních vlastnostech tabáku šířit také jeho rekreační využití (především mezi chudšími vrstvami obyvatelstva), což vyvolalo odpor vyšších společenských vrstev a církve. V průběhu celého 17. století byla po celé Evropě přijímána opatření zabraňující kouření; od pokut a zvyšování cel až po trest smrti. Tyto vládní snahy však úspěšně rozvrátil černý trh s tabákem a na konci 17. století bylo již kouření</w:t>
      </w:r>
      <w:r w:rsidR="002A504B">
        <w:rPr>
          <w:rFonts w:ascii="Palatino" w:hAnsi="Palatino"/>
        </w:rPr>
        <w:t xml:space="preserve"> vesměs</w:t>
      </w:r>
      <w:r w:rsidRPr="009050F9">
        <w:rPr>
          <w:rFonts w:ascii="Palatino" w:hAnsi="Palatino"/>
        </w:rPr>
        <w:t xml:space="preserve"> na celém kontinentu legální.</w:t>
      </w:r>
      <w:r>
        <w:rPr>
          <w:rFonts w:ascii="Palatino" w:hAnsi="Palatino"/>
        </w:rPr>
        <w:t xml:space="preserve"> (Singer 2004, s. 519)</w:t>
      </w:r>
    </w:p>
    <w:p w14:paraId="6C058C5D" w14:textId="4C25B76E" w:rsidR="00BD1DAA" w:rsidRDefault="00BD1DAA" w:rsidP="00BD1DAA">
      <w:pPr>
        <w:spacing w:line="360" w:lineRule="auto"/>
        <w:ind w:firstLine="708"/>
        <w:jc w:val="both"/>
        <w:rPr>
          <w:rFonts w:ascii="Palatino" w:hAnsi="Palatino"/>
        </w:rPr>
      </w:pPr>
      <w:r>
        <w:rPr>
          <w:rFonts w:ascii="Palatino" w:hAnsi="Palatino"/>
        </w:rPr>
        <w:t>Největší vliv na rozmach kouření v Evropě měla nepochybně Británie, která z tabáku – ve zklamání, že se v jejích amerických koloniích nenacházejí ložiska stříbra – udělala přední vývozní komoditu. Protože však britský trh nestačil spotřebovávat veškerou koloniální produkci, vysílala Británie po Evropě delegace s cílem kouření propagovat a vytvořit nová odbytiště. Neméně důležité využití pro tabák pak také Britové našli, když jej začali dovážet do svých kolonií v Pacifiku. Ve snahách o „</w:t>
      </w:r>
      <w:r w:rsidRPr="00441F1C">
        <w:rPr>
          <w:rFonts w:ascii="Palatino" w:hAnsi="Palatino"/>
          <w:i/>
          <w:iCs/>
        </w:rPr>
        <w:t>zvýšení pracovní produktivity a dominanci nad domorodými obyvateli</w:t>
      </w:r>
      <w:r>
        <w:rPr>
          <w:rFonts w:ascii="Palatino" w:hAnsi="Palatino"/>
        </w:rPr>
        <w:t>“</w:t>
      </w:r>
      <w:r>
        <w:rPr>
          <w:rStyle w:val="Znakapoznpodarou"/>
          <w:rFonts w:ascii="Palatino" w:hAnsi="Palatino"/>
        </w:rPr>
        <w:footnoteReference w:id="2"/>
      </w:r>
      <w:r>
        <w:rPr>
          <w:rFonts w:ascii="Palatino" w:hAnsi="Palatino"/>
        </w:rPr>
        <w:t>(</w:t>
      </w:r>
      <w:r>
        <w:rPr>
          <w:rFonts w:ascii="Palatino" w:hAnsi="Palatino"/>
        </w:rPr>
        <w:fldChar w:fldCharType="begin"/>
      </w:r>
      <w:r>
        <w:rPr>
          <w:rFonts w:ascii="Palatino" w:hAnsi="Palatino"/>
        </w:rPr>
        <w:instrText xml:space="preserve"> ADDIN ZOTERO_ITEM CSL_CITATION {"citationID":"SZiocvg3","properties":{"formattedCitation":"(Singer 2004)","plainCitation":"(Singer 2004)","noteIndex":0},"citationItems":[{"id":17,"uris":["http://zotero.org/users/7740812/items/2HQGZFJ9"],"uri":["http://zotero.org/users/7740812/items/2HQGZFJ9"],"itemData":{"id":17,"type":"chapter","container-title":"Encyclopedia of Medical Anthropology: Health and Illness in the World’s Cultures Volume I: Topics Volume II: Cultures","event-place":"Boston, MA","ISBN":"978-0-387-29905-1","note":"DOI: 10.1007/0-387-29905-X_52","page":"518-528","publisher":"Springer US","publisher-place":"Boston, MA","title":"Tobacco Use in Medical Anthropological Perspective","URL":"https://doi.org/10.1007/0-387-29905-X_52","author":[{"family":"Singer","given":"Merrill"}],"editor":[{"family":"Ember","given":"Carol R."},{"family":"Ember","given":"Melvin"}],"issued":{"date-parts":[["2004"]]}}}],"schema":"https://github.com/citation-style-language/schema/raw/master/csl-citation.json"} </w:instrText>
      </w:r>
      <w:r>
        <w:rPr>
          <w:rFonts w:ascii="Palatino" w:hAnsi="Palatino"/>
        </w:rPr>
        <w:fldChar w:fldCharType="separate"/>
      </w:r>
      <w:r>
        <w:rPr>
          <w:rFonts w:ascii="Palatino" w:hAnsi="Palatino"/>
          <w:noProof/>
        </w:rPr>
        <w:t>tamtéž, s. 521)</w:t>
      </w:r>
      <w:r>
        <w:rPr>
          <w:rFonts w:ascii="Palatino" w:hAnsi="Palatino"/>
        </w:rPr>
        <w:fldChar w:fldCharType="end"/>
      </w:r>
      <w:r>
        <w:rPr>
          <w:rFonts w:ascii="Palatino" w:hAnsi="Palatino"/>
        </w:rPr>
        <w:t xml:space="preserve"> se ukázalo vybudování závislosti na kouření – podobně jako u domorodých kmenů Severní Ameriky závislosti na alkoholu – mnohem efektivnějším a snazším řešením než použití vojenské síly. (tamtéž, s. 520-521)</w:t>
      </w:r>
    </w:p>
    <w:p w14:paraId="2BE6BAC1" w14:textId="77777777" w:rsidR="00BD1DAA" w:rsidRDefault="00BD1DAA" w:rsidP="00BD1DAA">
      <w:pPr>
        <w:spacing w:line="360" w:lineRule="auto"/>
        <w:ind w:firstLine="708"/>
        <w:jc w:val="both"/>
        <w:rPr>
          <w:rFonts w:ascii="Palatino" w:hAnsi="Palatino"/>
        </w:rPr>
      </w:pPr>
      <w:r>
        <w:rPr>
          <w:rFonts w:ascii="Palatino" w:hAnsi="Palatino"/>
        </w:rPr>
        <w:t xml:space="preserve">Vedle ekonomických benefitů „exportu kouření“ našel však tabák také využití domácí – vedle (dalších koloniálních produktů) čaje, kávy, čokolády a cukru se stal </w:t>
      </w:r>
      <w:r>
        <w:rPr>
          <w:rFonts w:ascii="Palatino" w:hAnsi="Palatino"/>
        </w:rPr>
        <w:lastRenderedPageBreak/>
        <w:t>tzv. „</w:t>
      </w:r>
      <w:r w:rsidRPr="00E67363">
        <w:rPr>
          <w:rFonts w:ascii="Palatino" w:hAnsi="Palatino"/>
          <w:i/>
          <w:iCs/>
        </w:rPr>
        <w:t>drug food</w:t>
      </w:r>
      <w:r>
        <w:rPr>
          <w:rFonts w:ascii="Palatino" w:hAnsi="Palatino"/>
        </w:rPr>
        <w:t>“, náhražkou jídla, která zvyšuje pracovní výkonnost dělníků v továrnách industriální éry. Pro tyto dělníky se kouření stalo rychle důležitým, a na dlouhá léta tak bylo zásadně ztíženo jej zákonně regulovat. (tamtéž, s. 522)</w:t>
      </w:r>
      <w:r>
        <w:rPr>
          <w:rFonts w:ascii="Palatino" w:hAnsi="Palatino"/>
        </w:rPr>
        <w:br w:type="page"/>
      </w:r>
    </w:p>
    <w:p w14:paraId="4D975867" w14:textId="77777777" w:rsidR="00BD1DAA" w:rsidRPr="00BD1DAA" w:rsidRDefault="00BD1DAA" w:rsidP="00BD1DAA">
      <w:pPr>
        <w:pStyle w:val="Podnadpis"/>
        <w:rPr>
          <w:color w:val="2F5496" w:themeColor="accent1" w:themeShade="BF"/>
        </w:rPr>
      </w:pPr>
      <w:r w:rsidRPr="00BD1DAA">
        <w:rPr>
          <w:color w:val="2F5496" w:themeColor="accent1" w:themeShade="BF"/>
        </w:rPr>
        <w:lastRenderedPageBreak/>
        <w:t>2.1.2 Kulturní aspekty kouření</w:t>
      </w:r>
    </w:p>
    <w:p w14:paraId="42273C89" w14:textId="77777777" w:rsidR="00BD1DAA" w:rsidRDefault="00BD1DAA" w:rsidP="00BD1DAA">
      <w:pPr>
        <w:spacing w:line="360" w:lineRule="auto"/>
        <w:ind w:firstLine="708"/>
        <w:jc w:val="both"/>
        <w:rPr>
          <w:rFonts w:ascii="Palatino" w:hAnsi="Palatino"/>
        </w:rPr>
      </w:pPr>
    </w:p>
    <w:p w14:paraId="764A3ACB" w14:textId="77777777" w:rsidR="00BD1DAA" w:rsidRDefault="00BD1DAA" w:rsidP="00BD1DAA">
      <w:pPr>
        <w:spacing w:line="360" w:lineRule="auto"/>
        <w:ind w:firstLine="708"/>
        <w:jc w:val="both"/>
        <w:rPr>
          <w:rFonts w:ascii="Palatino" w:hAnsi="Palatino"/>
        </w:rPr>
      </w:pPr>
      <w:r>
        <w:rPr>
          <w:rFonts w:ascii="Palatino" w:hAnsi="Palatino"/>
        </w:rPr>
        <w:t>Dle Singera (2004, s. 523) je pro západní svět (minimálně od rozšíření prefabrikovaných cigaret a sirek) kouření individuální záležitostí spojenou s myšlením a cítěním jedince spíše než symbolickou či ritualizovanou činností – jakou je například konzumace alkoholu – přenášející kulturní informaci. Zároveň však Singer (2004, s. 523) dodává, že kouření nelze upřít veškerou symboliku – v mnohých filmech si postava zapaluje cigaretu a vzbuzuje při tom dojem vymezení vůči tradiční společnosti, rebelie proti zaběhlým společenským rolím, tajemna nebo sexuální přitažlivosti, případně uspokojení. Tato symbolika může zároveň do budoucna nabírat na síle v důsledku snah o omezování kouření na veřejnosti. Jako další výjimku pak Singer (2004, s. 523) zmiňuje, že „</w:t>
      </w:r>
      <w:r w:rsidRPr="009F49C7">
        <w:rPr>
          <w:rFonts w:ascii="Palatino" w:hAnsi="Palatino"/>
          <w:i/>
          <w:iCs/>
        </w:rPr>
        <w:t xml:space="preserve">Na počátku 20. století, v průběhu </w:t>
      </w:r>
      <w:r>
        <w:rPr>
          <w:rFonts w:ascii="Palatino" w:hAnsi="Palatino"/>
          <w:i/>
          <w:iCs/>
        </w:rPr>
        <w:t>I. světové</w:t>
      </w:r>
      <w:r w:rsidRPr="009F49C7">
        <w:rPr>
          <w:rFonts w:ascii="Palatino" w:hAnsi="Palatino"/>
          <w:i/>
          <w:iCs/>
        </w:rPr>
        <w:t xml:space="preserve"> války, byly cigarety ‚spojovány s pozitivními hodnotami tiché hrdosti, kuráže a odhodlání archetypu ideálního vojáka a staly se nedílnou součástí vojákova života'“</w:t>
      </w:r>
      <w:r>
        <w:rPr>
          <w:rFonts w:ascii="Palatino" w:hAnsi="Palatino"/>
        </w:rPr>
        <w:t xml:space="preserve">(tamtéž, s. 523), což bylo zapříčiněno převážně masivní podporou americké armády velkými tabákovými společnostmi a následným propojení vojenství s kouřením. </w:t>
      </w:r>
    </w:p>
    <w:p w14:paraId="18BE7496" w14:textId="77777777" w:rsidR="00BD1DAA" w:rsidRDefault="00BD1DAA" w:rsidP="00BD1DAA">
      <w:pPr>
        <w:spacing w:line="360" w:lineRule="auto"/>
        <w:ind w:firstLine="708"/>
        <w:jc w:val="both"/>
        <w:rPr>
          <w:rFonts w:ascii="Palatino" w:hAnsi="Palatino"/>
        </w:rPr>
      </w:pPr>
    </w:p>
    <w:p w14:paraId="5D8B5543" w14:textId="77777777" w:rsidR="00BD1DAA" w:rsidRDefault="00BD1DAA" w:rsidP="00BD1DAA">
      <w:pPr>
        <w:spacing w:line="360" w:lineRule="auto"/>
        <w:ind w:firstLine="708"/>
        <w:jc w:val="both"/>
        <w:rPr>
          <w:rFonts w:ascii="Palatino" w:hAnsi="Palatino"/>
        </w:rPr>
      </w:pPr>
      <w:r>
        <w:rPr>
          <w:rFonts w:ascii="Palatino" w:hAnsi="Palatino"/>
        </w:rPr>
        <w:t xml:space="preserve">Mezi kulturní aspekty kouření pak Singer (2004, s. 523) dále řadí jeho využití pro rituály přechodu mezi věkovými stadii pro podřízené sociální skupiny – například mládež, ženy a etnické menšiny. Jakkoliv totiž započetí s kouřením značí přechod do vyšší věkové kategorie (dospělosti), na rozdíl od maturity či svatby nemusí být nijak schváleno ovládající sociální skupinou. </w:t>
      </w:r>
    </w:p>
    <w:p w14:paraId="4552E313" w14:textId="77777777" w:rsidR="00BD1DAA" w:rsidRDefault="00BD1DAA" w:rsidP="00BD1DAA">
      <w:pPr>
        <w:spacing w:line="360" w:lineRule="auto"/>
        <w:ind w:firstLine="708"/>
        <w:jc w:val="both"/>
        <w:rPr>
          <w:rFonts w:ascii="Palatino" w:hAnsi="Palatino"/>
        </w:rPr>
      </w:pPr>
      <w:r>
        <w:rPr>
          <w:rFonts w:ascii="Palatino" w:hAnsi="Palatino"/>
        </w:rPr>
        <w:t>U mládeže je pak také důležitým faktorem to, jak je kouření přijímáno v jejich okolí – „</w:t>
      </w:r>
      <w:r w:rsidRPr="00AA6124">
        <w:rPr>
          <w:rFonts w:ascii="Palatino" w:hAnsi="Palatino"/>
          <w:i/>
          <w:iCs/>
        </w:rPr>
        <w:t>několik studií ukázalo, že kouření mezi adolescentní mládeží je závislé na souhlasném stanovisku ke kouření přijímaném od (…) kamarádů</w:t>
      </w:r>
      <w:r>
        <w:rPr>
          <w:rFonts w:ascii="Palatino" w:hAnsi="Palatino"/>
        </w:rPr>
        <w:t>.“ (tamtéž, s. 523)</w:t>
      </w:r>
    </w:p>
    <w:p w14:paraId="17DE33C9" w14:textId="77777777" w:rsidR="00BD1DAA" w:rsidRPr="009F49C7" w:rsidRDefault="00BD1DAA" w:rsidP="00BD1DAA">
      <w:pPr>
        <w:spacing w:line="360" w:lineRule="auto"/>
        <w:ind w:firstLine="708"/>
        <w:jc w:val="both"/>
        <w:rPr>
          <w:rFonts w:ascii="Palatino" w:hAnsi="Palatino"/>
        </w:rPr>
      </w:pPr>
      <w:r>
        <w:rPr>
          <w:rFonts w:ascii="Palatino" w:hAnsi="Palatino"/>
        </w:rPr>
        <w:t>U dospělých pak Singer (2004, s. 523) jako kulturní aspekt kouření spatřuje symboliku přestávky od (zejména náročné) práce, ekvivalentní „pauze na kávu“; předělu mezi prací a odpočinkem či rituálu při dokončení (pracovní) činnosti.</w:t>
      </w:r>
    </w:p>
    <w:p w14:paraId="42755E5E" w14:textId="77777777" w:rsidR="00BD1DAA" w:rsidRPr="009050F9" w:rsidRDefault="00BD1DAA" w:rsidP="00BD1DAA">
      <w:pPr>
        <w:spacing w:line="360" w:lineRule="auto"/>
        <w:jc w:val="both"/>
        <w:rPr>
          <w:rFonts w:ascii="Palatino" w:hAnsi="Palatino"/>
        </w:rPr>
      </w:pPr>
      <w:r>
        <w:rPr>
          <w:rFonts w:ascii="Palatino" w:hAnsi="Palatino"/>
        </w:rPr>
        <w:tab/>
      </w:r>
    </w:p>
    <w:p w14:paraId="2BB20667" w14:textId="77777777" w:rsidR="00142BCD" w:rsidRDefault="00142BCD" w:rsidP="00142BCD"/>
    <w:p w14:paraId="67AC777B" w14:textId="77777777" w:rsidR="00F64A67" w:rsidRDefault="00F64A67" w:rsidP="00F64A67">
      <w:pPr>
        <w:pStyle w:val="Nadpis2"/>
      </w:pPr>
      <w:bookmarkStart w:id="5" w:name="_Toc72275238"/>
      <w:r>
        <w:t xml:space="preserve">2.2 </w:t>
      </w:r>
      <w:r w:rsidR="00AB7B45">
        <w:t xml:space="preserve">Mark Nichter: </w:t>
      </w:r>
      <w:r w:rsidR="00BD1DAA">
        <w:t>vliv rodinných faktorů a etnicity</w:t>
      </w:r>
      <w:bookmarkEnd w:id="5"/>
      <w:r w:rsidR="00BD1DAA">
        <w:fldChar w:fldCharType="begin"/>
      </w:r>
      <w:r w:rsidR="00BD1DAA">
        <w:instrText xml:space="preserve"> ADDIN ZOTERO_ITEM CSL_CITATION {"citationID":"PaebeIZ0","properties":{"formattedCitation":"(Nichter 2003)","plainCitation":"(Nichter 2003)","noteIndex":0},"citationItems":[{"id":20,"uris":["http://zotero.org/users/7740812/items/C5UCA2ML"],"uri":["http://zotero.org/users/7740812/items/C5UCA2ML"],"itemData":{"id":20,"type":"article-journal","abstract":"ABSTRACT In this commentary issues are raised relating to the role of ethnicity and ?culture? as a context influencing adolescent smoking. A processual rendering of culture is encouraged, as is an appreciation of intraethnic diversity. The question posed is ?what is cultural about particular patterns, transitions and trajectories of smoking?? Productive ways of investigating patterns of smoking which attend to class, ethnicity, gender norms, modernity and popular culture are focused upon as an ongoing project subject to both the identity needs of youth and the agenda of the tobacco industry. Promising areas of research are identified, as are the potential contributions of ethnographies of tobacco use.","container-title":"Addiction","DOI":"10.1046/j.1360-0443.98.s1.9.x","ISSN":"0965-2140","issue":"s1","journalAbbreviation":"Addiction","note":"publisher: John Wiley &amp; Sons, Ltd","page":"139-145","title":"Smoking: what does culture have to do with it?","volume":"98","author":[{"family":"Nichter","given":"Mark"}],"issued":{"date-parts":[["2003",5,1]]}}}],"schema":"https://github.com/citation-style-language/schema/raw/master/csl-citation.json"} </w:instrText>
      </w:r>
      <w:r w:rsidR="00BD1DAA">
        <w:fldChar w:fldCharType="end"/>
      </w:r>
      <w:r w:rsidR="00BD1DAA">
        <w:t xml:space="preserve"> </w:t>
      </w:r>
    </w:p>
    <w:p w14:paraId="5E709042" w14:textId="77777777" w:rsidR="001770A5" w:rsidRDefault="001770A5" w:rsidP="001770A5"/>
    <w:p w14:paraId="1F5B275E" w14:textId="77777777" w:rsidR="00BD1DAA" w:rsidRDefault="00BD1DAA" w:rsidP="00BD1DAA">
      <w:pPr>
        <w:spacing w:line="360" w:lineRule="auto"/>
        <w:ind w:firstLine="708"/>
        <w:jc w:val="both"/>
        <w:rPr>
          <w:rFonts w:ascii="Palatino" w:hAnsi="Palatino"/>
        </w:rPr>
      </w:pPr>
      <w:r>
        <w:rPr>
          <w:rFonts w:ascii="Palatino" w:hAnsi="Palatino"/>
        </w:rPr>
        <w:lastRenderedPageBreak/>
        <w:t xml:space="preserve">Mark Nichter (2003, s. 140) ve své práci komentující antropologický výzkum kouření na úvod zdůrazňuje, že je při takovém výzkumu třeba správně pracovat s etnicitou. Tvrdí, že jakkoliv může být jednoduché se uchýlit k opaku; na etnicitu je potřeba při výzkumu kouření nahlížet jako na „znak“ možné vyšší náchylnosti ke kouření místo „faktoru“ této náchylnosti. Dodává, že je mnohem prospěšnější hledat při výzkumu nejprve faktory kulturní: vzdělání, sociální třída, ekonomická (ne)zajištěnost, významné stresory (například diskriminace), užívání dalších drog atd. </w:t>
      </w:r>
    </w:p>
    <w:p w14:paraId="07021080" w14:textId="77777777" w:rsidR="00BD1DAA" w:rsidRDefault="00BD1DAA" w:rsidP="00BD1DAA">
      <w:pPr>
        <w:spacing w:line="360" w:lineRule="auto"/>
        <w:jc w:val="both"/>
        <w:rPr>
          <w:rFonts w:ascii="Palatino" w:hAnsi="Palatino"/>
        </w:rPr>
      </w:pPr>
      <w:r>
        <w:rPr>
          <w:rFonts w:ascii="Palatino" w:hAnsi="Palatino"/>
        </w:rPr>
        <w:tab/>
        <w:t>Za důležitý dvojfaktor ovlivňující vznik závislosti na kouření označuje Nichter (2003, s. 141) styl výchovy v rodině a respekt k rodičům, který ovlivňuje zda a kdy začne dítě kouřit, jak je poté rodiči ovlivňováno a jaké jsou rozdíly v přístupu ženských a mužských rodičů ke kouření v různých komunitách a stadiích závislosti. „</w:t>
      </w:r>
      <w:r w:rsidRPr="00BF2ACC">
        <w:rPr>
          <w:rFonts w:ascii="Palatino" w:hAnsi="Palatino"/>
          <w:i/>
          <w:iCs/>
        </w:rPr>
        <w:t>Jakmile jeden začne kouřit, je pobízen ke skončení, nebo je kouření akceptováno? Jak je místo a čas, kde a kdy mládež kouří ovlivňováno respektem k rodičům, a jak se toto liší nejen s věkem a pohlavím, ale také zaměstnaností?</w:t>
      </w:r>
      <w:r>
        <w:rPr>
          <w:rFonts w:ascii="Palatino" w:hAnsi="Palatino"/>
        </w:rPr>
        <w:t>“(tamtéž, s. 141)</w:t>
      </w:r>
    </w:p>
    <w:p w14:paraId="753FBFAF" w14:textId="77777777" w:rsidR="00BD1DAA" w:rsidRDefault="00BD1DAA" w:rsidP="00BD1DAA">
      <w:pPr>
        <w:spacing w:line="360" w:lineRule="auto"/>
        <w:jc w:val="both"/>
        <w:rPr>
          <w:rFonts w:ascii="Palatino" w:hAnsi="Palatino"/>
        </w:rPr>
      </w:pPr>
      <w:r>
        <w:rPr>
          <w:rFonts w:ascii="Palatino" w:hAnsi="Palatino"/>
        </w:rPr>
        <w:tab/>
        <w:t>Tento dvojfaktor dokládá nižší prevalencí kuřáctví mezi afroamerickou mládeží s autoritativnějším stylem výchovy v rodině, a zároveň dodává, že pro mladé Afroameričany jsou často důležitým vzorem v rodině starší ženy (babičky, prababičky a další příbuzné), „</w:t>
      </w:r>
      <w:r w:rsidRPr="00BD1DAA">
        <w:rPr>
          <w:rFonts w:ascii="Palatino" w:hAnsi="Palatino"/>
          <w:i/>
          <w:iCs/>
        </w:rPr>
        <w:t xml:space="preserve">jejichž názor je konzistentní a jasný – kouření mladému Afroameričanu </w:t>
      </w:r>
      <w:r>
        <w:rPr>
          <w:rFonts w:ascii="Palatino" w:hAnsi="Palatino"/>
          <w:i/>
          <w:iCs/>
        </w:rPr>
        <w:t>či</w:t>
      </w:r>
      <w:r w:rsidRPr="00BD1DAA">
        <w:rPr>
          <w:rFonts w:ascii="Palatino" w:hAnsi="Palatino"/>
          <w:i/>
          <w:iCs/>
        </w:rPr>
        <w:t xml:space="preserve"> Afroameričance nesluší a vrhá špatné světlo na jejich rodinu.”</w:t>
      </w:r>
      <w:r>
        <w:rPr>
          <w:rFonts w:ascii="Palatino" w:hAnsi="Palatino"/>
        </w:rPr>
        <w:t xml:space="preserve"> (tamtéž, s. 141) Zde však Nichter (tamtéž) zároveň nabízí otázku, jak se mění postoj ke kouření mnohým Afroameričanům, kteří se v 18 letech přidají k armádě a o tento důležitý nekuřácký vzor ztratí.  </w:t>
      </w:r>
      <w:r>
        <w:rPr>
          <w:rFonts w:ascii="Palatino" w:hAnsi="Palatino"/>
        </w:rPr>
        <w:br w:type="page"/>
      </w:r>
    </w:p>
    <w:p w14:paraId="29A99DD4" w14:textId="77777777" w:rsidR="001769CB" w:rsidRDefault="001769CB" w:rsidP="00062265">
      <w:pPr>
        <w:pStyle w:val="Nadpis1"/>
      </w:pPr>
      <w:bookmarkStart w:id="6" w:name="_Toc72275239"/>
      <w:r>
        <w:lastRenderedPageBreak/>
        <w:t>3. Závěr</w:t>
      </w:r>
      <w:bookmarkEnd w:id="6"/>
    </w:p>
    <w:p w14:paraId="6B188E3A" w14:textId="17E49458" w:rsidR="00BD1DAA" w:rsidRDefault="00BD1DAA" w:rsidP="00BD1DAA">
      <w:r>
        <w:tab/>
      </w:r>
    </w:p>
    <w:p w14:paraId="371BC232" w14:textId="1A77553F" w:rsidR="00A6234E" w:rsidRDefault="00A6234E" w:rsidP="00D0778D">
      <w:pPr>
        <w:spacing w:line="360" w:lineRule="auto"/>
        <w:jc w:val="both"/>
        <w:rPr>
          <w:rFonts w:ascii="Palatino" w:hAnsi="Palatino"/>
        </w:rPr>
      </w:pPr>
      <w:r w:rsidRPr="00D0778D">
        <w:rPr>
          <w:rFonts w:ascii="Palatino" w:hAnsi="Palatino"/>
        </w:rPr>
        <w:tab/>
      </w:r>
      <w:r w:rsidR="00A3649C" w:rsidRPr="00D0778D">
        <w:rPr>
          <w:rFonts w:ascii="Palatino" w:hAnsi="Palatino"/>
        </w:rPr>
        <w:t xml:space="preserve">Ve své práci jsem </w:t>
      </w:r>
      <w:r w:rsidR="00231EBF" w:rsidRPr="00D0778D">
        <w:rPr>
          <w:rFonts w:ascii="Palatino" w:hAnsi="Palatino"/>
        </w:rPr>
        <w:t xml:space="preserve">zpracovával dva antropologické přístupy k výzkumu kouření – </w:t>
      </w:r>
      <w:r w:rsidR="00193A1F" w:rsidRPr="00D0778D">
        <w:rPr>
          <w:rFonts w:ascii="Palatino" w:hAnsi="Palatino"/>
        </w:rPr>
        <w:t xml:space="preserve">přístup Merrila Singera, který se zabývá především globální historií šíření kouření jako nástroje ekonomické a </w:t>
      </w:r>
      <w:r w:rsidR="00AD565D" w:rsidRPr="00D0778D">
        <w:rPr>
          <w:rFonts w:ascii="Palatino" w:hAnsi="Palatino"/>
        </w:rPr>
        <w:t>koloniálně-politické moci a zpracovává některé aspekty kouření jakožto symboliky</w:t>
      </w:r>
      <w:r w:rsidR="004F720F" w:rsidRPr="00D0778D">
        <w:rPr>
          <w:rFonts w:ascii="Palatino" w:hAnsi="Palatino"/>
        </w:rPr>
        <w:t xml:space="preserve"> v průběhu moderních dějin; a Marka Nichtera, který se zaměřuje především na vztah kouření </w:t>
      </w:r>
      <w:r w:rsidR="00C92E18" w:rsidRPr="00D0778D">
        <w:rPr>
          <w:rFonts w:ascii="Palatino" w:hAnsi="Palatino"/>
        </w:rPr>
        <w:t>s etnicitou a rodinným zázemím</w:t>
      </w:r>
      <w:r w:rsidR="00D0778D" w:rsidRPr="00D0778D">
        <w:rPr>
          <w:rFonts w:ascii="Palatino" w:hAnsi="Palatino"/>
        </w:rPr>
        <w:t xml:space="preserve">. </w:t>
      </w:r>
      <w:r w:rsidR="00C92E18" w:rsidRPr="00D0778D">
        <w:rPr>
          <w:rFonts w:ascii="Palatino" w:hAnsi="Palatino"/>
        </w:rPr>
        <w:t xml:space="preserve"> </w:t>
      </w:r>
    </w:p>
    <w:p w14:paraId="6F0E02F6" w14:textId="706B87F2" w:rsidR="00D0778D" w:rsidRPr="00D0778D" w:rsidRDefault="00D0778D" w:rsidP="00D0778D">
      <w:pPr>
        <w:spacing w:line="360" w:lineRule="auto"/>
        <w:jc w:val="both"/>
        <w:rPr>
          <w:rFonts w:ascii="Palatino" w:hAnsi="Palatino"/>
        </w:rPr>
      </w:pPr>
      <w:r>
        <w:rPr>
          <w:rFonts w:ascii="Palatino" w:hAnsi="Palatino"/>
        </w:rPr>
        <w:tab/>
        <w:t xml:space="preserve">Zatímco Singer </w:t>
      </w:r>
      <w:r w:rsidR="00E72ADB">
        <w:rPr>
          <w:rFonts w:ascii="Palatino" w:hAnsi="Palatino"/>
        </w:rPr>
        <w:t xml:space="preserve">za hlavní faktor vesměs považuje </w:t>
      </w:r>
      <w:r w:rsidR="0011077C">
        <w:rPr>
          <w:rFonts w:ascii="Palatino" w:hAnsi="Palatino"/>
        </w:rPr>
        <w:t xml:space="preserve">(téměř) </w:t>
      </w:r>
      <w:r w:rsidR="004A02E6">
        <w:rPr>
          <w:rFonts w:ascii="Palatino" w:hAnsi="Palatino"/>
        </w:rPr>
        <w:t>globální vliv</w:t>
      </w:r>
      <w:r w:rsidR="0011077C">
        <w:rPr>
          <w:rFonts w:ascii="Palatino" w:hAnsi="Palatino"/>
        </w:rPr>
        <w:t xml:space="preserve"> vlád a velkých tabákových korporací</w:t>
      </w:r>
      <w:r w:rsidR="00E2579D">
        <w:rPr>
          <w:rFonts w:ascii="Palatino" w:hAnsi="Palatino"/>
        </w:rPr>
        <w:t xml:space="preserve"> a sociální skupině a sociálnímu zázemí jednotlivého kuřáka takovou váhu nepři</w:t>
      </w:r>
      <w:r w:rsidR="008B46AB">
        <w:rPr>
          <w:rFonts w:ascii="Palatino" w:hAnsi="Palatino"/>
        </w:rPr>
        <w:t xml:space="preserve">znává; Nichter považuje za nejdůležitější naopak rodinné zázemí a </w:t>
      </w:r>
      <w:r w:rsidR="00774A07">
        <w:rPr>
          <w:rFonts w:ascii="Palatino" w:hAnsi="Palatino"/>
        </w:rPr>
        <w:t xml:space="preserve">vztah s lokální komunitou. Oba autoři se však shodují </w:t>
      </w:r>
      <w:r w:rsidR="00774A07">
        <w:rPr>
          <w:rFonts w:ascii="Palatino" w:hAnsi="Palatino"/>
        </w:rPr>
        <w:softHyphen/>
        <w:t xml:space="preserve">– ač </w:t>
      </w:r>
      <w:r w:rsidR="00EB1AA5">
        <w:rPr>
          <w:rFonts w:ascii="Palatino" w:hAnsi="Palatino"/>
        </w:rPr>
        <w:t xml:space="preserve">každý z jiného úhlu </w:t>
      </w:r>
      <w:r w:rsidR="00EB1AA5">
        <w:rPr>
          <w:rFonts w:ascii="Palatino" w:hAnsi="Palatino"/>
        </w:rPr>
        <w:softHyphen/>
        <w:t>– na podstatném vlivu</w:t>
      </w:r>
      <w:r w:rsidR="00E34099">
        <w:rPr>
          <w:rFonts w:ascii="Palatino" w:hAnsi="Palatino"/>
        </w:rPr>
        <w:t xml:space="preserve"> faktoru</w:t>
      </w:r>
      <w:r w:rsidR="00EB1AA5">
        <w:rPr>
          <w:rFonts w:ascii="Palatino" w:hAnsi="Palatino"/>
        </w:rPr>
        <w:t xml:space="preserve"> přijímání kouření </w:t>
      </w:r>
      <w:r w:rsidR="00E34099">
        <w:rPr>
          <w:rFonts w:ascii="Palatino" w:hAnsi="Palatino"/>
        </w:rPr>
        <w:t>ve společnosti, v níž se daný kuřák pohybuje.</w:t>
      </w:r>
    </w:p>
    <w:p w14:paraId="28153A76" w14:textId="77777777" w:rsidR="00BD1DAA" w:rsidRPr="00BD1DAA" w:rsidRDefault="00BD1DAA" w:rsidP="00BD1DAA"/>
    <w:p w14:paraId="51709037" w14:textId="77777777" w:rsidR="001769CB" w:rsidRDefault="001769CB" w:rsidP="00062265">
      <w:pPr>
        <w:pStyle w:val="Nadpis1"/>
      </w:pPr>
      <w:bookmarkStart w:id="7" w:name="_Toc72275240"/>
      <w:r>
        <w:t>Bibliografie</w:t>
      </w:r>
      <w:bookmarkEnd w:id="7"/>
    </w:p>
    <w:p w14:paraId="66597588" w14:textId="77777777" w:rsidR="0056254D" w:rsidRDefault="0056254D" w:rsidP="0056254D"/>
    <w:p w14:paraId="10FEBD4C" w14:textId="77777777" w:rsidR="00BD1DAA" w:rsidRPr="00BD1DAA" w:rsidRDefault="00BD1DAA" w:rsidP="00BD1DAA">
      <w:pPr>
        <w:pStyle w:val="Bibliografie1"/>
        <w:rPr>
          <w:rFonts w:ascii="Palatino" w:hAnsi="Palatino" w:cs="Calibri"/>
        </w:rPr>
      </w:pPr>
      <w:r w:rsidRPr="00BD1DAA">
        <w:rPr>
          <w:rFonts w:ascii="Palatino" w:hAnsi="Palatino"/>
        </w:rPr>
        <w:fldChar w:fldCharType="begin"/>
      </w:r>
      <w:r w:rsidRPr="00BD1DAA">
        <w:rPr>
          <w:rFonts w:ascii="Palatino" w:hAnsi="Palatino"/>
        </w:rPr>
        <w:instrText xml:space="preserve"> ADDIN ZOTERO_BIBL {"uncited":[],"omitted":[],"custom":[]} CSL_BIBLIOGRAPHY </w:instrText>
      </w:r>
      <w:r w:rsidRPr="00BD1DAA">
        <w:rPr>
          <w:rFonts w:ascii="Palatino" w:hAnsi="Palatino"/>
        </w:rPr>
        <w:fldChar w:fldCharType="separate"/>
      </w:r>
      <w:r w:rsidRPr="00BD1DAA">
        <w:rPr>
          <w:rFonts w:ascii="Palatino" w:hAnsi="Palatino" w:cs="Calibri"/>
        </w:rPr>
        <w:t xml:space="preserve">Nichter, Mark. 2003. „Smoking: what does culture have to do with it?" </w:t>
      </w:r>
      <w:r w:rsidRPr="00BD1DAA">
        <w:rPr>
          <w:rFonts w:ascii="Palatino" w:hAnsi="Palatino" w:cs="Calibri"/>
          <w:i/>
          <w:iCs/>
        </w:rPr>
        <w:t>Addiction</w:t>
      </w:r>
      <w:r w:rsidRPr="00BD1DAA">
        <w:rPr>
          <w:rFonts w:ascii="Palatino" w:hAnsi="Palatino" w:cs="Calibri"/>
        </w:rPr>
        <w:t xml:space="preserve"> 98: 139–45. https://doi.org/10.1046/j.1360-0443.98.s1.9.x.</w:t>
      </w:r>
    </w:p>
    <w:p w14:paraId="17B0CCC0" w14:textId="77777777" w:rsidR="00BD1DAA" w:rsidRPr="00BD1DAA" w:rsidRDefault="00BD1DAA" w:rsidP="00BD1DAA">
      <w:pPr>
        <w:pStyle w:val="Bibliografie1"/>
        <w:rPr>
          <w:rFonts w:ascii="Palatino" w:hAnsi="Palatino" w:cs="Calibri"/>
        </w:rPr>
      </w:pPr>
      <w:r w:rsidRPr="00BD1DAA">
        <w:rPr>
          <w:rFonts w:ascii="Palatino" w:hAnsi="Palatino" w:cs="Calibri"/>
        </w:rPr>
        <w:t xml:space="preserve">Singer, Merrill. 2004. „Tobacco Use in Medical Anthropological Perspective". In </w:t>
      </w:r>
      <w:r w:rsidRPr="00BD1DAA">
        <w:rPr>
          <w:rFonts w:ascii="Palatino" w:hAnsi="Palatino" w:cs="Calibri"/>
          <w:i/>
          <w:iCs/>
        </w:rPr>
        <w:t>Encyclopedia of Medical Anthropology: Health and Illness in the World’s Cultures Volume I: Topics Volume II: Cultures</w:t>
      </w:r>
      <w:r w:rsidRPr="00BD1DAA">
        <w:rPr>
          <w:rFonts w:ascii="Palatino" w:hAnsi="Palatino" w:cs="Calibri"/>
        </w:rPr>
        <w:t>, editoval Carol R. Ember a Melvin Ember, 518–28. Boston, MA: Springer US. https://doi.org/10.1007/0-387-29905-X_52.</w:t>
      </w:r>
    </w:p>
    <w:p w14:paraId="74ABA7CE" w14:textId="77777777" w:rsidR="0056254D" w:rsidRPr="0056254D" w:rsidRDefault="00BD1DAA" w:rsidP="0056254D">
      <w:r w:rsidRPr="00BD1DAA">
        <w:rPr>
          <w:rFonts w:ascii="Palatino" w:hAnsi="Palatino"/>
        </w:rPr>
        <w:fldChar w:fldCharType="end"/>
      </w:r>
    </w:p>
    <w:sectPr w:rsidR="0056254D" w:rsidRPr="0056254D" w:rsidSect="009E6C9E">
      <w:footerReference w:type="default" r:id="rId11"/>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530A" w14:textId="77777777" w:rsidR="00BD1DAA" w:rsidRDefault="00BD1DAA" w:rsidP="00BD1DAA">
      <w:r>
        <w:separator/>
      </w:r>
    </w:p>
  </w:endnote>
  <w:endnote w:type="continuationSeparator" w:id="0">
    <w:p w14:paraId="408EDA2B" w14:textId="77777777" w:rsidR="00BD1DAA" w:rsidRDefault="00BD1DAA" w:rsidP="00B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491461290"/>
      <w:docPartObj>
        <w:docPartGallery w:val="Page Numbers (Bottom of Page)"/>
        <w:docPartUnique/>
      </w:docPartObj>
    </w:sdtPr>
    <w:sdtEndPr>
      <w:rPr>
        <w:rStyle w:val="slostrnky"/>
      </w:rPr>
    </w:sdtEndPr>
    <w:sdtContent>
      <w:p w14:paraId="1454B84A" w14:textId="440F00FE" w:rsidR="009E6C9E" w:rsidRDefault="009E6C9E" w:rsidP="00672C6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A8F80D3" w14:textId="77777777" w:rsidR="009E6C9E" w:rsidRDefault="009E6C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779604971"/>
      <w:docPartObj>
        <w:docPartGallery w:val="Page Numbers (Bottom of Page)"/>
        <w:docPartUnique/>
      </w:docPartObj>
    </w:sdtPr>
    <w:sdtEndPr>
      <w:rPr>
        <w:rStyle w:val="slostrnky"/>
      </w:rPr>
    </w:sdtEndPr>
    <w:sdtContent>
      <w:p w14:paraId="226C79DD" w14:textId="4FD2C0D9" w:rsidR="009E6C9E" w:rsidRDefault="009E6C9E" w:rsidP="00672C6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2D71A3">
          <w:rPr>
            <w:rStyle w:val="slostrnky"/>
            <w:noProof/>
          </w:rPr>
          <w:t>6</w:t>
        </w:r>
        <w:r>
          <w:rPr>
            <w:rStyle w:val="slostrnky"/>
          </w:rPr>
          <w:fldChar w:fldCharType="end"/>
        </w:r>
      </w:p>
    </w:sdtContent>
  </w:sdt>
  <w:p w14:paraId="763A0119" w14:textId="77777777" w:rsidR="009E6C9E" w:rsidRDefault="009E6C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203C" w14:textId="77777777" w:rsidR="00BD1DAA" w:rsidRDefault="00BD1DAA" w:rsidP="00BD1DAA">
      <w:r>
        <w:separator/>
      </w:r>
    </w:p>
  </w:footnote>
  <w:footnote w:type="continuationSeparator" w:id="0">
    <w:p w14:paraId="349B5CCE" w14:textId="77777777" w:rsidR="00BD1DAA" w:rsidRDefault="00BD1DAA" w:rsidP="00BD1DAA">
      <w:r>
        <w:continuationSeparator/>
      </w:r>
    </w:p>
  </w:footnote>
  <w:footnote w:id="1">
    <w:p w14:paraId="7CD52C85" w14:textId="77777777" w:rsidR="00BD1DAA" w:rsidRPr="00BD1DAA" w:rsidRDefault="00BD1DAA">
      <w:pPr>
        <w:pStyle w:val="Textpoznpodarou"/>
      </w:pPr>
      <w:r>
        <w:rPr>
          <w:rStyle w:val="Znakapoznpodarou"/>
        </w:rPr>
        <w:footnoteRef/>
      </w:r>
      <w:r>
        <w:t xml:space="preserve"> </w:t>
      </w:r>
      <w:r w:rsidRPr="00BD1DAA">
        <w:rPr>
          <w:rFonts w:ascii="Palatino" w:hAnsi="Palatino"/>
        </w:rPr>
        <w:t xml:space="preserve">a kdykoliv v práci zmiňuji </w:t>
      </w:r>
      <w:r w:rsidRPr="00BD1DAA">
        <w:rPr>
          <w:rFonts w:ascii="Palatino" w:hAnsi="Palatino"/>
          <w:i/>
          <w:iCs/>
        </w:rPr>
        <w:t>kouření</w:t>
      </w:r>
      <w:r w:rsidRPr="00BD1DAA">
        <w:rPr>
          <w:rFonts w:ascii="Palatino" w:hAnsi="Palatino"/>
        </w:rPr>
        <w:t>, myslím tím právě kouření tabákových cigaret či doutníků</w:t>
      </w:r>
    </w:p>
  </w:footnote>
  <w:footnote w:id="2">
    <w:p w14:paraId="1919DEE8" w14:textId="77777777" w:rsidR="00BD1DAA" w:rsidRDefault="00BD1DAA" w:rsidP="00BD1DAA">
      <w:pPr>
        <w:pStyle w:val="Textpoznpodarou"/>
      </w:pPr>
      <w:r>
        <w:rPr>
          <w:rStyle w:val="Znakapoznpodarou"/>
        </w:rPr>
        <w:footnoteRef/>
      </w:r>
      <w:r>
        <w:t xml:space="preserve"> </w:t>
      </w:r>
      <w:r w:rsidRPr="004320CB">
        <w:rPr>
          <w:rFonts w:ascii="Palatino" w:hAnsi="Palatino"/>
        </w:rPr>
        <w:t>všechny překlady v této práci jsou autorské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20100E05A154DFF9508667713F3A3C2"/>
      </w:placeholder>
      <w:temporary/>
      <w:showingPlcHdr/>
      <w15:appearance w15:val="hidden"/>
    </w:sdtPr>
    <w:sdtContent>
      <w:p w14:paraId="21BA1A74" w14:textId="77777777" w:rsidR="002D71A3" w:rsidRDefault="002D71A3">
        <w:pPr>
          <w:pStyle w:val="Zhlav"/>
        </w:pPr>
        <w:r>
          <w:t>[Sem zadejte text.]</w:t>
        </w:r>
      </w:p>
    </w:sdtContent>
  </w:sdt>
  <w:p w14:paraId="647C07BA" w14:textId="109AE7C5" w:rsidR="003A4FC2" w:rsidRPr="003A4FC2" w:rsidRDefault="003A4FC2" w:rsidP="003A4FC2">
    <w:pPr>
      <w:pStyle w:val="Zhlav"/>
      <w:ind w:left="-794"/>
      <w:rPr>
        <w:rFonts w:ascii="Palatino" w:hAnsi="Palatin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2A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EC4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DA2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5CA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743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164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763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546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80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6B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93358"/>
    <w:multiLevelType w:val="hybridMultilevel"/>
    <w:tmpl w:val="DC02D154"/>
    <w:lvl w:ilvl="0" w:tplc="830E14C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CA1124"/>
    <w:multiLevelType w:val="hybridMultilevel"/>
    <w:tmpl w:val="4C200072"/>
    <w:lvl w:ilvl="0" w:tplc="9426ED6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292E03"/>
    <w:multiLevelType w:val="hybridMultilevel"/>
    <w:tmpl w:val="700E2306"/>
    <w:lvl w:ilvl="0" w:tplc="1916B6A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82"/>
    <w:rsid w:val="000229C9"/>
    <w:rsid w:val="0003423A"/>
    <w:rsid w:val="00062265"/>
    <w:rsid w:val="00082492"/>
    <w:rsid w:val="00083925"/>
    <w:rsid w:val="000871FF"/>
    <w:rsid w:val="0011077C"/>
    <w:rsid w:val="00114610"/>
    <w:rsid w:val="00142BCD"/>
    <w:rsid w:val="001769CB"/>
    <w:rsid w:val="001770A5"/>
    <w:rsid w:val="00193A1F"/>
    <w:rsid w:val="001E35E8"/>
    <w:rsid w:val="001E46F8"/>
    <w:rsid w:val="00231EBF"/>
    <w:rsid w:val="002A504B"/>
    <w:rsid w:val="002D71A3"/>
    <w:rsid w:val="002F084A"/>
    <w:rsid w:val="00303683"/>
    <w:rsid w:val="00344029"/>
    <w:rsid w:val="003A4FC2"/>
    <w:rsid w:val="003A53E4"/>
    <w:rsid w:val="003B45BF"/>
    <w:rsid w:val="003D70DF"/>
    <w:rsid w:val="00415B28"/>
    <w:rsid w:val="004201D7"/>
    <w:rsid w:val="00424CE7"/>
    <w:rsid w:val="00431B0E"/>
    <w:rsid w:val="00432C68"/>
    <w:rsid w:val="00463AFC"/>
    <w:rsid w:val="004A02E6"/>
    <w:rsid w:val="004F720F"/>
    <w:rsid w:val="00511BE2"/>
    <w:rsid w:val="0056254D"/>
    <w:rsid w:val="00590A73"/>
    <w:rsid w:val="005E2ABB"/>
    <w:rsid w:val="006A5B1A"/>
    <w:rsid w:val="00717EAF"/>
    <w:rsid w:val="00774A07"/>
    <w:rsid w:val="0078081D"/>
    <w:rsid w:val="00796D7B"/>
    <w:rsid w:val="007E4902"/>
    <w:rsid w:val="007F618E"/>
    <w:rsid w:val="00806170"/>
    <w:rsid w:val="00813C18"/>
    <w:rsid w:val="00833D6C"/>
    <w:rsid w:val="008A79F9"/>
    <w:rsid w:val="008B46AB"/>
    <w:rsid w:val="008C2506"/>
    <w:rsid w:val="008E610B"/>
    <w:rsid w:val="009776C4"/>
    <w:rsid w:val="009A4947"/>
    <w:rsid w:val="009C2899"/>
    <w:rsid w:val="009E6C9E"/>
    <w:rsid w:val="00A3649C"/>
    <w:rsid w:val="00A54782"/>
    <w:rsid w:val="00A60561"/>
    <w:rsid w:val="00A6234E"/>
    <w:rsid w:val="00A74079"/>
    <w:rsid w:val="00A75DCA"/>
    <w:rsid w:val="00AB7B45"/>
    <w:rsid w:val="00AC235C"/>
    <w:rsid w:val="00AD565D"/>
    <w:rsid w:val="00AF513C"/>
    <w:rsid w:val="00B500A2"/>
    <w:rsid w:val="00BC22EA"/>
    <w:rsid w:val="00BD1DAA"/>
    <w:rsid w:val="00C92E18"/>
    <w:rsid w:val="00D0778D"/>
    <w:rsid w:val="00D420A6"/>
    <w:rsid w:val="00D43AA4"/>
    <w:rsid w:val="00D91F30"/>
    <w:rsid w:val="00DA7D66"/>
    <w:rsid w:val="00E15A70"/>
    <w:rsid w:val="00E2579D"/>
    <w:rsid w:val="00E260FB"/>
    <w:rsid w:val="00E337DC"/>
    <w:rsid w:val="00E34099"/>
    <w:rsid w:val="00E72ADB"/>
    <w:rsid w:val="00EB1AA5"/>
    <w:rsid w:val="00F64A67"/>
    <w:rsid w:val="00FF2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84C0"/>
  <w14:defaultImageDpi w14:val="32767"/>
  <w15:chartTrackingRefBased/>
  <w15:docId w15:val="{6A9143DA-6846-1540-B7B2-0F797965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4782"/>
  </w:style>
  <w:style w:type="paragraph" w:styleId="Nadpis1">
    <w:name w:val="heading 1"/>
    <w:basedOn w:val="Normln"/>
    <w:next w:val="Normln"/>
    <w:link w:val="Nadpis1Char"/>
    <w:uiPriority w:val="9"/>
    <w:qFormat/>
    <w:rsid w:val="00813C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622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3C18"/>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D420A6"/>
    <w:pPr>
      <w:spacing w:before="480" w:line="276" w:lineRule="auto"/>
      <w:outlineLvl w:val="9"/>
    </w:pPr>
    <w:rPr>
      <w:b/>
      <w:bCs/>
      <w:sz w:val="28"/>
      <w:szCs w:val="28"/>
      <w:lang w:eastAsia="cs-CZ"/>
    </w:rPr>
  </w:style>
  <w:style w:type="paragraph" w:styleId="Obsah2">
    <w:name w:val="toc 2"/>
    <w:basedOn w:val="Normln"/>
    <w:next w:val="Normln"/>
    <w:autoRedefine/>
    <w:uiPriority w:val="39"/>
    <w:unhideWhenUsed/>
    <w:rsid w:val="00D420A6"/>
    <w:pPr>
      <w:ind w:left="240"/>
    </w:pPr>
    <w:rPr>
      <w:rFonts w:cstheme="minorHAnsi"/>
      <w:smallCaps/>
      <w:sz w:val="20"/>
      <w:szCs w:val="20"/>
    </w:rPr>
  </w:style>
  <w:style w:type="paragraph" w:styleId="Obsah1">
    <w:name w:val="toc 1"/>
    <w:basedOn w:val="Normln"/>
    <w:next w:val="Normln"/>
    <w:autoRedefine/>
    <w:uiPriority w:val="39"/>
    <w:unhideWhenUsed/>
    <w:rsid w:val="00D420A6"/>
    <w:pPr>
      <w:spacing w:before="120" w:after="120"/>
    </w:pPr>
    <w:rPr>
      <w:rFonts w:cstheme="minorHAnsi"/>
      <w:b/>
      <w:bCs/>
      <w:caps/>
      <w:sz w:val="20"/>
      <w:szCs w:val="20"/>
    </w:rPr>
  </w:style>
  <w:style w:type="paragraph" w:styleId="Obsah3">
    <w:name w:val="toc 3"/>
    <w:basedOn w:val="Normln"/>
    <w:next w:val="Normln"/>
    <w:autoRedefine/>
    <w:uiPriority w:val="39"/>
    <w:unhideWhenUsed/>
    <w:rsid w:val="00D420A6"/>
    <w:pPr>
      <w:ind w:left="480"/>
    </w:pPr>
    <w:rPr>
      <w:rFonts w:cstheme="minorHAnsi"/>
      <w:i/>
      <w:iCs/>
      <w:sz w:val="20"/>
      <w:szCs w:val="20"/>
    </w:rPr>
  </w:style>
  <w:style w:type="paragraph" w:styleId="Obsah4">
    <w:name w:val="toc 4"/>
    <w:basedOn w:val="Normln"/>
    <w:next w:val="Normln"/>
    <w:autoRedefine/>
    <w:uiPriority w:val="39"/>
    <w:semiHidden/>
    <w:unhideWhenUsed/>
    <w:rsid w:val="00D420A6"/>
    <w:pPr>
      <w:ind w:left="720"/>
    </w:pPr>
    <w:rPr>
      <w:rFonts w:cstheme="minorHAnsi"/>
      <w:sz w:val="18"/>
      <w:szCs w:val="18"/>
    </w:rPr>
  </w:style>
  <w:style w:type="paragraph" w:styleId="Obsah5">
    <w:name w:val="toc 5"/>
    <w:basedOn w:val="Normln"/>
    <w:next w:val="Normln"/>
    <w:autoRedefine/>
    <w:uiPriority w:val="39"/>
    <w:semiHidden/>
    <w:unhideWhenUsed/>
    <w:rsid w:val="00D420A6"/>
    <w:pPr>
      <w:ind w:left="960"/>
    </w:pPr>
    <w:rPr>
      <w:rFonts w:cstheme="minorHAnsi"/>
      <w:sz w:val="18"/>
      <w:szCs w:val="18"/>
    </w:rPr>
  </w:style>
  <w:style w:type="paragraph" w:styleId="Obsah6">
    <w:name w:val="toc 6"/>
    <w:basedOn w:val="Normln"/>
    <w:next w:val="Normln"/>
    <w:autoRedefine/>
    <w:uiPriority w:val="39"/>
    <w:semiHidden/>
    <w:unhideWhenUsed/>
    <w:rsid w:val="00D420A6"/>
    <w:pPr>
      <w:ind w:left="1200"/>
    </w:pPr>
    <w:rPr>
      <w:rFonts w:cstheme="minorHAnsi"/>
      <w:sz w:val="18"/>
      <w:szCs w:val="18"/>
    </w:rPr>
  </w:style>
  <w:style w:type="paragraph" w:styleId="Obsah7">
    <w:name w:val="toc 7"/>
    <w:basedOn w:val="Normln"/>
    <w:next w:val="Normln"/>
    <w:autoRedefine/>
    <w:uiPriority w:val="39"/>
    <w:semiHidden/>
    <w:unhideWhenUsed/>
    <w:rsid w:val="00D420A6"/>
    <w:pPr>
      <w:ind w:left="1440"/>
    </w:pPr>
    <w:rPr>
      <w:rFonts w:cstheme="minorHAnsi"/>
      <w:sz w:val="18"/>
      <w:szCs w:val="18"/>
    </w:rPr>
  </w:style>
  <w:style w:type="paragraph" w:styleId="Obsah8">
    <w:name w:val="toc 8"/>
    <w:basedOn w:val="Normln"/>
    <w:next w:val="Normln"/>
    <w:autoRedefine/>
    <w:uiPriority w:val="39"/>
    <w:semiHidden/>
    <w:unhideWhenUsed/>
    <w:rsid w:val="00D420A6"/>
    <w:pPr>
      <w:ind w:left="1680"/>
    </w:pPr>
    <w:rPr>
      <w:rFonts w:cstheme="minorHAnsi"/>
      <w:sz w:val="18"/>
      <w:szCs w:val="18"/>
    </w:rPr>
  </w:style>
  <w:style w:type="paragraph" w:styleId="Obsah9">
    <w:name w:val="toc 9"/>
    <w:basedOn w:val="Normln"/>
    <w:next w:val="Normln"/>
    <w:autoRedefine/>
    <w:uiPriority w:val="39"/>
    <w:semiHidden/>
    <w:unhideWhenUsed/>
    <w:rsid w:val="00D420A6"/>
    <w:pPr>
      <w:ind w:left="1920"/>
    </w:pPr>
    <w:rPr>
      <w:rFonts w:cstheme="minorHAnsi"/>
      <w:sz w:val="18"/>
      <w:szCs w:val="18"/>
    </w:rPr>
  </w:style>
  <w:style w:type="character" w:customStyle="1" w:styleId="Nadpis2Char">
    <w:name w:val="Nadpis 2 Char"/>
    <w:basedOn w:val="Standardnpsmoodstavce"/>
    <w:link w:val="Nadpis2"/>
    <w:uiPriority w:val="9"/>
    <w:rsid w:val="00062265"/>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56254D"/>
    <w:rPr>
      <w:color w:val="0563C1" w:themeColor="hyperlink"/>
      <w:u w:val="single"/>
    </w:rPr>
  </w:style>
  <w:style w:type="paragraph" w:styleId="Odstavecseseznamem">
    <w:name w:val="List Paragraph"/>
    <w:basedOn w:val="Normln"/>
    <w:uiPriority w:val="34"/>
    <w:qFormat/>
    <w:rsid w:val="001770A5"/>
    <w:pPr>
      <w:ind w:left="720"/>
      <w:contextualSpacing/>
    </w:pPr>
  </w:style>
  <w:style w:type="paragraph" w:styleId="Titulek">
    <w:name w:val="caption"/>
    <w:basedOn w:val="Normln"/>
    <w:next w:val="Normln"/>
    <w:uiPriority w:val="35"/>
    <w:unhideWhenUsed/>
    <w:qFormat/>
    <w:rsid w:val="00FF2F43"/>
    <w:pPr>
      <w:spacing w:after="200"/>
    </w:pPr>
    <w:rPr>
      <w:i/>
      <w:iCs/>
      <w:color w:val="44546A" w:themeColor="text2"/>
      <w:sz w:val="18"/>
      <w:szCs w:val="18"/>
    </w:rPr>
  </w:style>
  <w:style w:type="paragraph" w:customStyle="1" w:styleId="Bibliografie1">
    <w:name w:val="Bibliografie1"/>
    <w:basedOn w:val="Normln"/>
    <w:link w:val="BibliographyChar"/>
    <w:rsid w:val="00BD1DAA"/>
    <w:pPr>
      <w:ind w:left="720" w:hanging="720"/>
    </w:pPr>
  </w:style>
  <w:style w:type="character" w:customStyle="1" w:styleId="BibliographyChar">
    <w:name w:val="Bibliography Char"/>
    <w:basedOn w:val="Standardnpsmoodstavce"/>
    <w:link w:val="Bibliografie1"/>
    <w:rsid w:val="00BD1DAA"/>
  </w:style>
  <w:style w:type="paragraph" w:styleId="Textpoznpodarou">
    <w:name w:val="footnote text"/>
    <w:basedOn w:val="Normln"/>
    <w:link w:val="TextpoznpodarouChar"/>
    <w:uiPriority w:val="99"/>
    <w:semiHidden/>
    <w:unhideWhenUsed/>
    <w:rsid w:val="00BD1DAA"/>
    <w:rPr>
      <w:sz w:val="20"/>
      <w:szCs w:val="20"/>
    </w:rPr>
  </w:style>
  <w:style w:type="character" w:customStyle="1" w:styleId="TextpoznpodarouChar">
    <w:name w:val="Text pozn. pod čarou Char"/>
    <w:basedOn w:val="Standardnpsmoodstavce"/>
    <w:link w:val="Textpoznpodarou"/>
    <w:uiPriority w:val="99"/>
    <w:semiHidden/>
    <w:rsid w:val="00BD1DAA"/>
    <w:rPr>
      <w:sz w:val="20"/>
      <w:szCs w:val="20"/>
    </w:rPr>
  </w:style>
  <w:style w:type="character" w:styleId="Znakapoznpodarou">
    <w:name w:val="footnote reference"/>
    <w:basedOn w:val="Standardnpsmoodstavce"/>
    <w:uiPriority w:val="99"/>
    <w:semiHidden/>
    <w:unhideWhenUsed/>
    <w:rsid w:val="00BD1DAA"/>
    <w:rPr>
      <w:vertAlign w:val="superscript"/>
    </w:rPr>
  </w:style>
  <w:style w:type="paragraph" w:styleId="Podnadpis">
    <w:name w:val="Subtitle"/>
    <w:basedOn w:val="Normln"/>
    <w:next w:val="Normln"/>
    <w:link w:val="PodnadpisChar"/>
    <w:uiPriority w:val="11"/>
    <w:qFormat/>
    <w:rsid w:val="00BD1DAA"/>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BD1DAA"/>
    <w:rPr>
      <w:rFonts w:eastAsiaTheme="minorEastAsia"/>
      <w:color w:val="5A5A5A" w:themeColor="text1" w:themeTint="A5"/>
      <w:spacing w:val="15"/>
      <w:sz w:val="22"/>
      <w:szCs w:val="22"/>
    </w:rPr>
  </w:style>
  <w:style w:type="paragraph" w:styleId="Zhlav">
    <w:name w:val="header"/>
    <w:basedOn w:val="Normln"/>
    <w:link w:val="ZhlavChar"/>
    <w:uiPriority w:val="99"/>
    <w:unhideWhenUsed/>
    <w:rsid w:val="009E6C9E"/>
    <w:pPr>
      <w:tabs>
        <w:tab w:val="center" w:pos="4536"/>
        <w:tab w:val="right" w:pos="9072"/>
      </w:tabs>
    </w:pPr>
  </w:style>
  <w:style w:type="character" w:customStyle="1" w:styleId="ZhlavChar">
    <w:name w:val="Záhlaví Char"/>
    <w:basedOn w:val="Standardnpsmoodstavce"/>
    <w:link w:val="Zhlav"/>
    <w:uiPriority w:val="99"/>
    <w:rsid w:val="009E6C9E"/>
  </w:style>
  <w:style w:type="paragraph" w:styleId="Zpat">
    <w:name w:val="footer"/>
    <w:basedOn w:val="Normln"/>
    <w:link w:val="ZpatChar"/>
    <w:uiPriority w:val="99"/>
    <w:unhideWhenUsed/>
    <w:rsid w:val="009E6C9E"/>
    <w:pPr>
      <w:tabs>
        <w:tab w:val="center" w:pos="4536"/>
        <w:tab w:val="right" w:pos="9072"/>
      </w:tabs>
    </w:pPr>
  </w:style>
  <w:style w:type="character" w:customStyle="1" w:styleId="ZpatChar">
    <w:name w:val="Zápatí Char"/>
    <w:basedOn w:val="Standardnpsmoodstavce"/>
    <w:link w:val="Zpat"/>
    <w:uiPriority w:val="99"/>
    <w:rsid w:val="009E6C9E"/>
  </w:style>
  <w:style w:type="character" w:styleId="slostrnky">
    <w:name w:val="page number"/>
    <w:basedOn w:val="Standardnpsmoodstavce"/>
    <w:uiPriority w:val="99"/>
    <w:semiHidden/>
    <w:unhideWhenUsed/>
    <w:rsid w:val="009E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0431">
      <w:bodyDiv w:val="1"/>
      <w:marLeft w:val="0"/>
      <w:marRight w:val="0"/>
      <w:marTop w:val="0"/>
      <w:marBottom w:val="0"/>
      <w:divBdr>
        <w:top w:val="none" w:sz="0" w:space="0" w:color="auto"/>
        <w:left w:val="none" w:sz="0" w:space="0" w:color="auto"/>
        <w:bottom w:val="none" w:sz="0" w:space="0" w:color="auto"/>
        <w:right w:val="none" w:sz="0" w:space="0" w:color="auto"/>
      </w:divBdr>
      <w:divsChild>
        <w:div w:id="1008870376">
          <w:marLeft w:val="0"/>
          <w:marRight w:val="0"/>
          <w:marTop w:val="0"/>
          <w:marBottom w:val="0"/>
          <w:divBdr>
            <w:top w:val="none" w:sz="0" w:space="0" w:color="auto"/>
            <w:left w:val="none" w:sz="0" w:space="0" w:color="auto"/>
            <w:bottom w:val="none" w:sz="0" w:space="0" w:color="auto"/>
            <w:right w:val="none" w:sz="0" w:space="0" w:color="auto"/>
          </w:divBdr>
          <w:divsChild>
            <w:div w:id="1589969531">
              <w:marLeft w:val="0"/>
              <w:marRight w:val="0"/>
              <w:marTop w:val="0"/>
              <w:marBottom w:val="0"/>
              <w:divBdr>
                <w:top w:val="none" w:sz="0" w:space="0" w:color="auto"/>
                <w:left w:val="none" w:sz="0" w:space="0" w:color="auto"/>
                <w:bottom w:val="none" w:sz="0" w:space="0" w:color="auto"/>
                <w:right w:val="none" w:sz="0" w:space="0" w:color="auto"/>
              </w:divBdr>
              <w:divsChild>
                <w:div w:id="902061705">
                  <w:marLeft w:val="0"/>
                  <w:marRight w:val="0"/>
                  <w:marTop w:val="0"/>
                  <w:marBottom w:val="0"/>
                  <w:divBdr>
                    <w:top w:val="none" w:sz="0" w:space="0" w:color="auto"/>
                    <w:left w:val="none" w:sz="0" w:space="0" w:color="auto"/>
                    <w:bottom w:val="none" w:sz="0" w:space="0" w:color="auto"/>
                    <w:right w:val="none" w:sz="0" w:space="0" w:color="auto"/>
                  </w:divBdr>
                  <w:divsChild>
                    <w:div w:id="19461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43930">
      <w:bodyDiv w:val="1"/>
      <w:marLeft w:val="0"/>
      <w:marRight w:val="0"/>
      <w:marTop w:val="0"/>
      <w:marBottom w:val="0"/>
      <w:divBdr>
        <w:top w:val="none" w:sz="0" w:space="0" w:color="auto"/>
        <w:left w:val="none" w:sz="0" w:space="0" w:color="auto"/>
        <w:bottom w:val="none" w:sz="0" w:space="0" w:color="auto"/>
        <w:right w:val="none" w:sz="0" w:space="0" w:color="auto"/>
      </w:divBdr>
      <w:divsChild>
        <w:div w:id="437146038">
          <w:marLeft w:val="0"/>
          <w:marRight w:val="0"/>
          <w:marTop w:val="0"/>
          <w:marBottom w:val="0"/>
          <w:divBdr>
            <w:top w:val="none" w:sz="0" w:space="0" w:color="auto"/>
            <w:left w:val="none" w:sz="0" w:space="0" w:color="auto"/>
            <w:bottom w:val="none" w:sz="0" w:space="0" w:color="auto"/>
            <w:right w:val="none" w:sz="0" w:space="0" w:color="auto"/>
          </w:divBdr>
          <w:divsChild>
            <w:div w:id="428082914">
              <w:marLeft w:val="0"/>
              <w:marRight w:val="0"/>
              <w:marTop w:val="0"/>
              <w:marBottom w:val="0"/>
              <w:divBdr>
                <w:top w:val="none" w:sz="0" w:space="0" w:color="auto"/>
                <w:left w:val="none" w:sz="0" w:space="0" w:color="auto"/>
                <w:bottom w:val="none" w:sz="0" w:space="0" w:color="auto"/>
                <w:right w:val="none" w:sz="0" w:space="0" w:color="auto"/>
              </w:divBdr>
              <w:divsChild>
                <w:div w:id="1365254667">
                  <w:marLeft w:val="0"/>
                  <w:marRight w:val="0"/>
                  <w:marTop w:val="0"/>
                  <w:marBottom w:val="0"/>
                  <w:divBdr>
                    <w:top w:val="none" w:sz="0" w:space="0" w:color="auto"/>
                    <w:left w:val="none" w:sz="0" w:space="0" w:color="auto"/>
                    <w:bottom w:val="none" w:sz="0" w:space="0" w:color="auto"/>
                    <w:right w:val="none" w:sz="0" w:space="0" w:color="auto"/>
                  </w:divBdr>
                  <w:divsChild>
                    <w:div w:id="384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527">
      <w:bodyDiv w:val="1"/>
      <w:marLeft w:val="0"/>
      <w:marRight w:val="0"/>
      <w:marTop w:val="0"/>
      <w:marBottom w:val="0"/>
      <w:divBdr>
        <w:top w:val="none" w:sz="0" w:space="0" w:color="auto"/>
        <w:left w:val="none" w:sz="0" w:space="0" w:color="auto"/>
        <w:bottom w:val="none" w:sz="0" w:space="0" w:color="auto"/>
        <w:right w:val="none" w:sz="0" w:space="0" w:color="auto"/>
      </w:divBdr>
      <w:divsChild>
        <w:div w:id="531115517">
          <w:marLeft w:val="0"/>
          <w:marRight w:val="0"/>
          <w:marTop w:val="0"/>
          <w:marBottom w:val="0"/>
          <w:divBdr>
            <w:top w:val="none" w:sz="0" w:space="0" w:color="auto"/>
            <w:left w:val="none" w:sz="0" w:space="0" w:color="auto"/>
            <w:bottom w:val="none" w:sz="0" w:space="0" w:color="auto"/>
            <w:right w:val="none" w:sz="0" w:space="0" w:color="auto"/>
          </w:divBdr>
          <w:divsChild>
            <w:div w:id="925578011">
              <w:marLeft w:val="0"/>
              <w:marRight w:val="0"/>
              <w:marTop w:val="0"/>
              <w:marBottom w:val="0"/>
              <w:divBdr>
                <w:top w:val="none" w:sz="0" w:space="0" w:color="auto"/>
                <w:left w:val="none" w:sz="0" w:space="0" w:color="auto"/>
                <w:bottom w:val="none" w:sz="0" w:space="0" w:color="auto"/>
                <w:right w:val="none" w:sz="0" w:space="0" w:color="auto"/>
              </w:divBdr>
              <w:divsChild>
                <w:div w:id="751047706">
                  <w:marLeft w:val="0"/>
                  <w:marRight w:val="0"/>
                  <w:marTop w:val="0"/>
                  <w:marBottom w:val="0"/>
                  <w:divBdr>
                    <w:top w:val="none" w:sz="0" w:space="0" w:color="auto"/>
                    <w:left w:val="none" w:sz="0" w:space="0" w:color="auto"/>
                    <w:bottom w:val="none" w:sz="0" w:space="0" w:color="auto"/>
                    <w:right w:val="none" w:sz="0" w:space="0" w:color="auto"/>
                  </w:divBdr>
                  <w:divsChild>
                    <w:div w:id="8137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9751">
      <w:bodyDiv w:val="1"/>
      <w:marLeft w:val="0"/>
      <w:marRight w:val="0"/>
      <w:marTop w:val="0"/>
      <w:marBottom w:val="0"/>
      <w:divBdr>
        <w:top w:val="none" w:sz="0" w:space="0" w:color="auto"/>
        <w:left w:val="none" w:sz="0" w:space="0" w:color="auto"/>
        <w:bottom w:val="none" w:sz="0" w:space="0" w:color="auto"/>
        <w:right w:val="none" w:sz="0" w:space="0" w:color="auto"/>
      </w:divBdr>
      <w:divsChild>
        <w:div w:id="1552888705">
          <w:marLeft w:val="0"/>
          <w:marRight w:val="0"/>
          <w:marTop w:val="0"/>
          <w:marBottom w:val="0"/>
          <w:divBdr>
            <w:top w:val="none" w:sz="0" w:space="0" w:color="auto"/>
            <w:left w:val="none" w:sz="0" w:space="0" w:color="auto"/>
            <w:bottom w:val="none" w:sz="0" w:space="0" w:color="auto"/>
            <w:right w:val="none" w:sz="0" w:space="0" w:color="auto"/>
          </w:divBdr>
          <w:divsChild>
            <w:div w:id="1207253872">
              <w:marLeft w:val="0"/>
              <w:marRight w:val="0"/>
              <w:marTop w:val="0"/>
              <w:marBottom w:val="0"/>
              <w:divBdr>
                <w:top w:val="none" w:sz="0" w:space="0" w:color="auto"/>
                <w:left w:val="none" w:sz="0" w:space="0" w:color="auto"/>
                <w:bottom w:val="none" w:sz="0" w:space="0" w:color="auto"/>
                <w:right w:val="none" w:sz="0" w:space="0" w:color="auto"/>
              </w:divBdr>
              <w:divsChild>
                <w:div w:id="534847862">
                  <w:marLeft w:val="0"/>
                  <w:marRight w:val="0"/>
                  <w:marTop w:val="0"/>
                  <w:marBottom w:val="0"/>
                  <w:divBdr>
                    <w:top w:val="none" w:sz="0" w:space="0" w:color="auto"/>
                    <w:left w:val="none" w:sz="0" w:space="0" w:color="auto"/>
                    <w:bottom w:val="none" w:sz="0" w:space="0" w:color="auto"/>
                    <w:right w:val="none" w:sz="0" w:space="0" w:color="auto"/>
                  </w:divBdr>
                  <w:divsChild>
                    <w:div w:id="2158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0100E05A154DFF9508667713F3A3C2"/>
        <w:category>
          <w:name w:val="Obecné"/>
          <w:gallery w:val="placeholder"/>
        </w:category>
        <w:types>
          <w:type w:val="bbPlcHdr"/>
        </w:types>
        <w:behaviors>
          <w:behavior w:val="content"/>
        </w:behaviors>
        <w:guid w:val="{B524FFB6-E140-454F-BC26-9A8232DC5F96}"/>
      </w:docPartPr>
      <w:docPartBody>
        <w:p w:rsidR="00000000" w:rsidRDefault="00EC569E" w:rsidP="00EC569E">
          <w:pPr>
            <w:pStyle w:val="020100E05A154DFF9508667713F3A3C2"/>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9E"/>
    <w:rsid w:val="00EC5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20100E05A154DFF9508667713F3A3C2">
    <w:name w:val="020100E05A154DFF9508667713F3A3C2"/>
    <w:rsid w:val="00EC5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076D9BC1-2919-4989-A453-F5A5713C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11597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Skuhravý</dc:creator>
  <cp:keywords/>
  <dc:description/>
  <cp:lastModifiedBy>Alžběta Wolfová</cp:lastModifiedBy>
  <cp:revision>3</cp:revision>
  <dcterms:created xsi:type="dcterms:W3CDTF">2021-05-18T22:25:00Z</dcterms:created>
  <dcterms:modified xsi:type="dcterms:W3CDTF">2021-05-19T15:29:00Z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id="TjmbCIJ4"/&gt;&lt;style id="http://www.zotero.org/styles/chicago-author-date" locale="cs-CZ"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