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B9E6" w14:textId="6FCC6861" w:rsidR="008A6281" w:rsidRPr="00F709D6" w:rsidRDefault="0025737E" w:rsidP="00F709D6">
      <w:pPr>
        <w:spacing w:line="192" w:lineRule="auto"/>
        <w:rPr>
          <w:rFonts w:ascii="Times New Roman" w:hAnsi="Times New Roman" w:cs="Times New Roman"/>
        </w:rPr>
      </w:pPr>
      <w:r w:rsidRPr="00F709D6">
        <w:rPr>
          <w:rFonts w:ascii="Times New Roman" w:hAnsi="Times New Roman" w:cs="Times New Roman"/>
        </w:rPr>
        <w:t xml:space="preserve">Slovníček </w:t>
      </w:r>
    </w:p>
    <w:p w14:paraId="0FCD5531" w14:textId="5349E755" w:rsidR="0025737E" w:rsidRPr="00F709D6" w:rsidRDefault="0025737E" w:rsidP="00F709D6">
      <w:pPr>
        <w:spacing w:line="192" w:lineRule="auto"/>
        <w:rPr>
          <w:rFonts w:ascii="Times New Roman" w:hAnsi="Times New Roman" w:cs="Times New Roman"/>
        </w:rPr>
      </w:pPr>
    </w:p>
    <w:p w14:paraId="2F52F5D7" w14:textId="17AECC67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handovers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předání služby</w:t>
      </w:r>
    </w:p>
    <w:p w14:paraId="04B18100" w14:textId="4ADA708E" w:rsidR="0025737E" w:rsidRPr="00F709D6" w:rsidRDefault="0025737E" w:rsidP="00F709D6">
      <w:pPr>
        <w:pStyle w:val="Normlnweb"/>
        <w:spacing w:line="192" w:lineRule="auto"/>
      </w:pPr>
      <w:r w:rsidRPr="00F709D6">
        <w:t>person-</w:t>
      </w:r>
      <w:proofErr w:type="spellStart"/>
      <w:r w:rsidRPr="00F709D6">
        <w:t>centred</w:t>
      </w:r>
      <w:proofErr w:type="spellEnd"/>
      <w:r w:rsidRPr="00F709D6">
        <w:t xml:space="preserve"> care </w:t>
      </w:r>
      <w:r w:rsidR="001B5B80" w:rsidRPr="00F709D6">
        <w:tab/>
      </w:r>
      <w:r w:rsidR="001B5B80" w:rsidRPr="00F709D6">
        <w:tab/>
        <w:t>péče zaměřená na osobu/pacienta</w:t>
      </w:r>
      <w:r w:rsidR="001B5B80" w:rsidRPr="00F709D6">
        <w:tab/>
      </w:r>
    </w:p>
    <w:p w14:paraId="0CCF6BF3" w14:textId="38BBC7C4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involve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zahrnout, zapojit</w:t>
      </w:r>
    </w:p>
    <w:p w14:paraId="09E5F640" w14:textId="5DAF6D13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unstructured</w:t>
      </w:r>
      <w:proofErr w:type="spellEnd"/>
      <w:r w:rsidR="001B5B80" w:rsidRPr="00F709D6">
        <w:tab/>
      </w:r>
      <w:r w:rsidR="001B5B80" w:rsidRPr="00F709D6">
        <w:tab/>
      </w:r>
      <w:r w:rsidR="001B5B80" w:rsidRPr="00F709D6">
        <w:tab/>
        <w:t>nestrukturovaný (rozhovor)</w:t>
      </w:r>
      <w:r w:rsidRPr="00F709D6">
        <w:t xml:space="preserve"> </w:t>
      </w:r>
    </w:p>
    <w:p w14:paraId="553C7A00" w14:textId="1F1C36B6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commonly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běžně, prostě</w:t>
      </w:r>
    </w:p>
    <w:p w14:paraId="4D70E547" w14:textId="47C98FE2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ineffective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neúčinné</w:t>
      </w:r>
    </w:p>
    <w:p w14:paraId="00BA7281" w14:textId="746FD904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sufficient</w:t>
      </w:r>
      <w:proofErr w:type="spellEnd"/>
      <w:r w:rsidRPr="00F709D6">
        <w:t xml:space="preserve"> </w:t>
      </w:r>
      <w:proofErr w:type="spellStart"/>
      <w:r w:rsidRPr="00F709D6">
        <w:t>information</w:t>
      </w:r>
      <w:proofErr w:type="spellEnd"/>
      <w:r w:rsidRPr="00F709D6">
        <w:t xml:space="preserve"> </w:t>
      </w:r>
      <w:r w:rsidR="001B5B80" w:rsidRPr="00F709D6">
        <w:tab/>
        <w:t>dostatečný, vhodný</w:t>
      </w:r>
    </w:p>
    <w:p w14:paraId="7445A12F" w14:textId="789E8561" w:rsidR="0025737E" w:rsidRPr="00F709D6" w:rsidRDefault="00B41EE6" w:rsidP="00F709D6">
      <w:pPr>
        <w:pStyle w:val="Normlnweb"/>
        <w:spacing w:line="192" w:lineRule="auto"/>
      </w:pPr>
      <w:proofErr w:type="spellStart"/>
      <w:r w:rsidRPr="00F709D6">
        <w:t>d</w:t>
      </w:r>
      <w:r w:rsidR="0025737E" w:rsidRPr="00F709D6">
        <w:t>espite</w:t>
      </w:r>
      <w:proofErr w:type="spellEnd"/>
      <w:r w:rsidR="0025737E"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navzdory, i přes</w:t>
      </w:r>
    </w:p>
    <w:p w14:paraId="6C2E2A1D" w14:textId="0069DF0C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interchangeably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  <w:t>zaměnitelné</w:t>
      </w:r>
    </w:p>
    <w:p w14:paraId="6C0FEA13" w14:textId="7FAF61EA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capabilities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schopnosti, talent</w:t>
      </w:r>
    </w:p>
    <w:p w14:paraId="69D9F6F2" w14:textId="62A57441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median</w:t>
      </w:r>
      <w:proofErr w:type="spellEnd"/>
      <w:r w:rsidRPr="00F709D6">
        <w:t xml:space="preserve"> </w:t>
      </w:r>
      <w:proofErr w:type="spellStart"/>
      <w:r w:rsidRPr="00F709D6">
        <w:t>length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  <w:t>střední dílka</w:t>
      </w:r>
    </w:p>
    <w:p w14:paraId="410824EC" w14:textId="222F18C1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frequencies</w:t>
      </w:r>
      <w:proofErr w:type="spellEnd"/>
      <w:r w:rsidRPr="00F709D6">
        <w:t xml:space="preserve"> </w:t>
      </w:r>
      <w:r w:rsidR="001B5B80" w:rsidRPr="00F709D6">
        <w:tab/>
      </w:r>
      <w:r w:rsidR="001B5B80" w:rsidRPr="00F709D6">
        <w:tab/>
      </w:r>
      <w:r w:rsidR="001B5B80" w:rsidRPr="00F709D6">
        <w:tab/>
        <w:t>frekvence</w:t>
      </w:r>
    </w:p>
    <w:p w14:paraId="76D46835" w14:textId="14D39408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established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stanovený</w:t>
      </w:r>
    </w:p>
    <w:p w14:paraId="35BBFEA1" w14:textId="0F30EA9E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implementation</w:t>
      </w:r>
      <w:proofErr w:type="spellEnd"/>
      <w:r w:rsidR="00B41EE6" w:rsidRPr="00F709D6">
        <w:tab/>
      </w:r>
      <w:r w:rsidR="00B41EE6" w:rsidRPr="00F709D6">
        <w:tab/>
        <w:t>uskutečnění, implementace</w:t>
      </w:r>
      <w:r w:rsidRPr="00F709D6">
        <w:t xml:space="preserve"> </w:t>
      </w:r>
    </w:p>
    <w:p w14:paraId="43480DD5" w14:textId="74C1CC67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regarding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týkat se, ohledně</w:t>
      </w:r>
    </w:p>
    <w:p w14:paraId="549A8848" w14:textId="01E56392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subcomponents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  <w:t>dílčí součást</w:t>
      </w:r>
    </w:p>
    <w:p w14:paraId="5217DE57" w14:textId="269E1DB6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include</w:t>
      </w:r>
      <w:proofErr w:type="spellEnd"/>
      <w:r w:rsidR="00B41EE6" w:rsidRPr="00F709D6">
        <w:tab/>
      </w:r>
      <w:r w:rsidR="00B41EE6" w:rsidRPr="00F709D6">
        <w:tab/>
      </w:r>
      <w:r w:rsidR="00B41EE6" w:rsidRPr="00F709D6">
        <w:tab/>
      </w:r>
      <w:r w:rsidR="00B41EE6" w:rsidRPr="00F709D6">
        <w:tab/>
        <w:t>zahrnout</w:t>
      </w:r>
      <w:r w:rsidRPr="00F709D6">
        <w:t xml:space="preserve"> </w:t>
      </w:r>
    </w:p>
    <w:p w14:paraId="38F3CD29" w14:textId="71F13E6D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during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</w:r>
      <w:r w:rsidR="00B41EE6" w:rsidRPr="00F709D6">
        <w:tab/>
        <w:t>v průběhu, během</w:t>
      </w:r>
    </w:p>
    <w:p w14:paraId="30C04948" w14:textId="77777777" w:rsidR="00B41EE6" w:rsidRPr="00F709D6" w:rsidRDefault="0025737E" w:rsidP="00F709D6">
      <w:pPr>
        <w:pStyle w:val="Normlnweb"/>
        <w:spacing w:line="192" w:lineRule="auto"/>
      </w:pPr>
      <w:r w:rsidRPr="00F709D6">
        <w:t xml:space="preserve">divergence </w:t>
      </w:r>
      <w:r w:rsidR="00B41EE6" w:rsidRPr="00F709D6">
        <w:tab/>
      </w:r>
      <w:r w:rsidR="00B41EE6" w:rsidRPr="00F709D6">
        <w:tab/>
      </w:r>
      <w:r w:rsidR="00B41EE6" w:rsidRPr="00F709D6">
        <w:tab/>
        <w:t>rozdíl, odchylka</w:t>
      </w:r>
    </w:p>
    <w:p w14:paraId="0E397836" w14:textId="582987EB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communication-oriented</w:t>
      </w:r>
      <w:proofErr w:type="spellEnd"/>
      <w:r w:rsidRPr="00F709D6">
        <w:t xml:space="preserve"> </w:t>
      </w:r>
      <w:r w:rsidR="00B41EE6" w:rsidRPr="00F709D6">
        <w:tab/>
        <w:t>zaměřený na komunikaci</w:t>
      </w:r>
    </w:p>
    <w:p w14:paraId="64DB380C" w14:textId="351EC440" w:rsidR="0025737E" w:rsidRPr="00F709D6" w:rsidRDefault="0025737E" w:rsidP="00F709D6">
      <w:pPr>
        <w:pStyle w:val="Normlnweb"/>
        <w:spacing w:line="192" w:lineRule="auto"/>
      </w:pPr>
      <w:proofErr w:type="spellStart"/>
      <w:r w:rsidRPr="00F709D6">
        <w:t>tool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</w:r>
      <w:r w:rsidR="00B41EE6" w:rsidRPr="00F709D6">
        <w:tab/>
        <w:t>nástroj</w:t>
      </w:r>
    </w:p>
    <w:p w14:paraId="558C50E6" w14:textId="66EE4605" w:rsidR="0025737E" w:rsidRPr="00F709D6" w:rsidRDefault="0025737E" w:rsidP="00F709D6">
      <w:pPr>
        <w:pStyle w:val="Normlnweb"/>
        <w:spacing w:line="192" w:lineRule="auto"/>
      </w:pPr>
      <w:r w:rsidRPr="00F709D6">
        <w:t xml:space="preserve">in </w:t>
      </w:r>
      <w:proofErr w:type="spellStart"/>
      <w:r w:rsidRPr="00F709D6">
        <w:t>addition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navíc</w:t>
      </w:r>
    </w:p>
    <w:p w14:paraId="028F0D18" w14:textId="77777777" w:rsidR="00B41EE6" w:rsidRPr="00F709D6" w:rsidRDefault="0025737E" w:rsidP="00F709D6">
      <w:pPr>
        <w:pStyle w:val="Normlnweb"/>
        <w:spacing w:line="192" w:lineRule="auto"/>
      </w:pPr>
      <w:proofErr w:type="spellStart"/>
      <w:r w:rsidRPr="00F709D6">
        <w:t>surprisingly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překvapivě, neočekávaně</w:t>
      </w:r>
      <w:r w:rsidR="00B41EE6" w:rsidRPr="00F709D6">
        <w:tab/>
      </w:r>
      <w:r w:rsidR="00B41EE6" w:rsidRPr="00F709D6">
        <w:tab/>
      </w:r>
    </w:p>
    <w:p w14:paraId="38651AC1" w14:textId="051387D8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t>consistent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stejný, důsledný</w:t>
      </w:r>
    </w:p>
    <w:p w14:paraId="1E9B9A74" w14:textId="4C501ED6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t>approximately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  <w:t>přibližně</w:t>
      </w:r>
    </w:p>
    <w:p w14:paraId="6DCC33FF" w14:textId="72682BEE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t>strengths</w:t>
      </w:r>
      <w:proofErr w:type="spellEnd"/>
      <w:r w:rsidR="00B41EE6" w:rsidRPr="00F709D6">
        <w:tab/>
      </w:r>
      <w:r w:rsidR="00B41EE6" w:rsidRPr="00F709D6">
        <w:tab/>
      </w:r>
      <w:r w:rsidR="00B41EE6" w:rsidRPr="00F709D6">
        <w:tab/>
        <w:t>silné stánky</w:t>
      </w:r>
    </w:p>
    <w:p w14:paraId="1696832B" w14:textId="1CFE5ADD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t>weaknesses</w:t>
      </w:r>
      <w:proofErr w:type="spellEnd"/>
      <w:r w:rsidR="00B41EE6" w:rsidRPr="00F709D6">
        <w:tab/>
      </w:r>
      <w:r w:rsidR="00B41EE6" w:rsidRPr="00F709D6">
        <w:tab/>
      </w:r>
      <w:r w:rsidR="00B41EE6" w:rsidRPr="00F709D6">
        <w:tab/>
        <w:t>slabé stánky</w:t>
      </w:r>
    </w:p>
    <w:p w14:paraId="0C400F08" w14:textId="00652B16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lastRenderedPageBreak/>
        <w:t>reintroduced</w:t>
      </w:r>
      <w:proofErr w:type="spellEnd"/>
      <w:r w:rsidRPr="00F709D6">
        <w:t xml:space="preserve">. </w:t>
      </w:r>
      <w:r w:rsidR="00B41EE6" w:rsidRPr="00F709D6">
        <w:tab/>
      </w:r>
      <w:r w:rsidR="00B41EE6" w:rsidRPr="00F709D6">
        <w:tab/>
      </w:r>
      <w:r w:rsidR="00B41EE6" w:rsidRPr="00F709D6">
        <w:tab/>
        <w:t>znovu zaveden</w:t>
      </w:r>
    </w:p>
    <w:p w14:paraId="29EB853E" w14:textId="4BA17DC1" w:rsidR="001B5B80" w:rsidRPr="00F709D6" w:rsidRDefault="001B5B80" w:rsidP="00F709D6">
      <w:pPr>
        <w:pStyle w:val="Normlnweb"/>
        <w:spacing w:line="192" w:lineRule="auto"/>
      </w:pPr>
      <w:proofErr w:type="spellStart"/>
      <w:r w:rsidRPr="00F709D6">
        <w:t>previous</w:t>
      </w:r>
      <w:proofErr w:type="spellEnd"/>
      <w:r w:rsidRPr="00F709D6">
        <w:t xml:space="preserve"> </w:t>
      </w:r>
      <w:r w:rsidR="00B41EE6" w:rsidRPr="00F709D6">
        <w:tab/>
      </w:r>
      <w:r w:rsidR="00B41EE6" w:rsidRPr="00F709D6">
        <w:tab/>
      </w:r>
      <w:r w:rsidR="00B41EE6" w:rsidRPr="00F709D6">
        <w:tab/>
        <w:t>předešlý, minulý</w:t>
      </w:r>
    </w:p>
    <w:p w14:paraId="2C6FED68" w14:textId="0680EEC9" w:rsidR="001B5B80" w:rsidRPr="00F709D6" w:rsidRDefault="00B41EE6" w:rsidP="00F709D6">
      <w:pPr>
        <w:pStyle w:val="Normlnweb"/>
        <w:spacing w:line="192" w:lineRule="auto"/>
      </w:pPr>
      <w:proofErr w:type="spellStart"/>
      <w:r w:rsidRPr="00F709D6">
        <w:t>e</w:t>
      </w:r>
      <w:r w:rsidR="001B5B80" w:rsidRPr="00F709D6">
        <w:t>ncourage</w:t>
      </w:r>
      <w:proofErr w:type="spellEnd"/>
      <w:r w:rsidRPr="00F709D6">
        <w:tab/>
      </w:r>
      <w:r w:rsidRPr="00F709D6">
        <w:tab/>
      </w:r>
      <w:r w:rsidRPr="00F709D6">
        <w:tab/>
        <w:t xml:space="preserve">podporovat, </w:t>
      </w:r>
      <w:r w:rsidR="00F709D6" w:rsidRPr="00F709D6">
        <w:t>povzbudit</w:t>
      </w:r>
    </w:p>
    <w:p w14:paraId="7301D638" w14:textId="4DF3A1E4" w:rsidR="001B5B80" w:rsidRDefault="001B5B80" w:rsidP="001B5B80">
      <w:pPr>
        <w:pStyle w:val="Normlnweb"/>
      </w:pPr>
      <w:r>
        <w:rPr>
          <w:rFonts w:ascii="AdvPSMER" w:hAnsi="AdvPSMER"/>
          <w:sz w:val="18"/>
          <w:szCs w:val="18"/>
        </w:rPr>
        <w:t xml:space="preserve"> </w:t>
      </w:r>
    </w:p>
    <w:p w14:paraId="6BA40849" w14:textId="77777777" w:rsidR="0025737E" w:rsidRDefault="0025737E" w:rsidP="0025737E">
      <w:pPr>
        <w:pStyle w:val="Normlnweb"/>
      </w:pPr>
    </w:p>
    <w:p w14:paraId="3CE2F99B" w14:textId="77777777" w:rsidR="0025737E" w:rsidRDefault="0025737E" w:rsidP="0025737E">
      <w:pPr>
        <w:pStyle w:val="Normlnweb"/>
      </w:pPr>
    </w:p>
    <w:p w14:paraId="55DA2B38" w14:textId="77777777" w:rsidR="0025737E" w:rsidRDefault="0025737E"/>
    <w:sectPr w:rsidR="0025737E" w:rsidSect="008422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PSM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7E"/>
    <w:rsid w:val="001B5B80"/>
    <w:rsid w:val="0025737E"/>
    <w:rsid w:val="00355FD9"/>
    <w:rsid w:val="008422A8"/>
    <w:rsid w:val="008A6281"/>
    <w:rsid w:val="00B41EE6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825E"/>
  <w15:chartTrackingRefBased/>
  <w15:docId w15:val="{AA5C605C-09C4-6640-9DDF-A8F196B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73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– číselná reference" Version="1987"/>
</file>

<file path=customXml/itemProps1.xml><?xml version="1.0" encoding="utf-8"?>
<ds:datastoreItem xmlns:ds="http://schemas.openxmlformats.org/officeDocument/2006/customXml" ds:itemID="{DC8C7F8A-B2E8-524D-BE16-1318F2A4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814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Tlachač</dc:creator>
  <cp:keywords/>
  <dc:description/>
  <cp:lastModifiedBy>Zdeněk Tlachač</cp:lastModifiedBy>
  <cp:revision>1</cp:revision>
  <dcterms:created xsi:type="dcterms:W3CDTF">2021-02-19T13:35:00Z</dcterms:created>
  <dcterms:modified xsi:type="dcterms:W3CDTF">2021-02-19T14:09:00Z</dcterms:modified>
</cp:coreProperties>
</file>