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2F17D" w14:textId="1196E855" w:rsidR="00CE1B07" w:rsidRDefault="00CE1B07" w:rsidP="00CE1B07">
      <w:pPr>
        <w:pStyle w:val="Normlnweb"/>
        <w:ind w:firstLine="708"/>
        <w:jc w:val="center"/>
        <w:rPr>
          <w:b/>
          <w:bCs/>
          <w:sz w:val="28"/>
          <w:szCs w:val="28"/>
        </w:rPr>
      </w:pPr>
      <w:r w:rsidRPr="00CE1B07">
        <w:rPr>
          <w:b/>
          <w:bCs/>
          <w:sz w:val="28"/>
          <w:szCs w:val="28"/>
        </w:rPr>
        <w:t>Sledování ošetřovatelského personálu při předávání služby zaměřené na pacienta s dodržováním kontrolního seznamu</w:t>
      </w:r>
    </w:p>
    <w:p w14:paraId="381ABFF5" w14:textId="20AC0405" w:rsidR="00CE1B07" w:rsidRPr="00CE1B07" w:rsidRDefault="00CE1B07" w:rsidP="00CE1B07">
      <w:pPr>
        <w:pStyle w:val="Normlnweb"/>
        <w:ind w:firstLine="708"/>
        <w:jc w:val="center"/>
        <w:rPr>
          <w:b/>
          <w:bCs/>
          <w:color w:val="000000"/>
          <w:sz w:val="28"/>
          <w:szCs w:val="28"/>
        </w:rPr>
      </w:pPr>
      <w:r w:rsidRPr="00CE1B07">
        <w:rPr>
          <w:b/>
          <w:bCs/>
          <w:sz w:val="28"/>
          <w:szCs w:val="28"/>
        </w:rPr>
        <w:t>– projekt na zvýšení kvality péče</w:t>
      </w:r>
    </w:p>
    <w:p w14:paraId="45FE2D92" w14:textId="63366826" w:rsidR="00D44073" w:rsidRDefault="006417F1" w:rsidP="008C64A9">
      <w:pPr>
        <w:pStyle w:val="Normlnweb"/>
        <w:ind w:firstLine="708"/>
        <w:jc w:val="both"/>
        <w:rPr>
          <w:color w:val="000000"/>
        </w:rPr>
      </w:pPr>
      <w:r w:rsidRPr="006417F1">
        <w:rPr>
          <w:color w:val="000000"/>
        </w:rPr>
        <w:t xml:space="preserve">Předání služby zdravotních sester na jedné směně je důležité, protože má dopad na ukazatele péče, jako je bezpečnost, spokojenost, pacientů a kontinuita. </w:t>
      </w:r>
      <w:r>
        <w:rPr>
          <w:color w:val="000000"/>
        </w:rPr>
        <w:t>Předávání sester bylo také kritizováno a označeno za nestrukturované a neúčinné. Pro zlepšení předávání a zapojení pacientů a jejich blízkých do tohoto procesu byl v Karolinsk</w:t>
      </w:r>
      <w:r w:rsidR="00CE1B07">
        <w:rPr>
          <w:color w:val="000000"/>
        </w:rPr>
        <w:t>é</w:t>
      </w:r>
      <w:r>
        <w:rPr>
          <w:color w:val="000000"/>
        </w:rPr>
        <w:t> Univerzitní Nemocnici</w:t>
      </w:r>
      <w:r w:rsidR="00BB1C15">
        <w:rPr>
          <w:color w:val="000000"/>
        </w:rPr>
        <w:t>, Švéd</w:t>
      </w:r>
      <w:r w:rsidR="00CE1B07">
        <w:rPr>
          <w:color w:val="000000"/>
        </w:rPr>
        <w:t>s</w:t>
      </w:r>
      <w:r w:rsidR="00BB1C15">
        <w:rPr>
          <w:color w:val="000000"/>
        </w:rPr>
        <w:t xml:space="preserve">ko vytvořen model </w:t>
      </w:r>
      <w:r w:rsidR="00BB1C15" w:rsidRPr="00BB1C15">
        <w:rPr>
          <w:b/>
          <w:bCs/>
          <w:color w:val="000000"/>
        </w:rPr>
        <w:t xml:space="preserve">předávání zaměřené na </w:t>
      </w:r>
      <w:r w:rsidR="00CD0EF1">
        <w:rPr>
          <w:b/>
          <w:bCs/>
          <w:color w:val="000000"/>
        </w:rPr>
        <w:t>pacienta</w:t>
      </w:r>
      <w:r w:rsidR="00BB1C15" w:rsidRPr="00BB1C15">
        <w:rPr>
          <w:b/>
          <w:bCs/>
          <w:color w:val="000000"/>
        </w:rPr>
        <w:t xml:space="preserve"> (PCH)</w:t>
      </w:r>
      <w:r w:rsidR="00BB1C15">
        <w:rPr>
          <w:color w:val="000000"/>
        </w:rPr>
        <w:t xml:space="preserve"> prováděné u lůžka nemocného. Tato studie informuje o dodržování kontrolního seznamu použitého pro nově zavedený motel PCH ze strany ošetřujícího personálu. Na dvou oddělení akutní péče bylo pozorováno 43 PCH za použití strukturovaného protokolu. </w:t>
      </w:r>
      <w:r w:rsidR="00ED2FB7">
        <w:rPr>
          <w:color w:val="000000"/>
        </w:rPr>
        <w:t>Žádná ze sledovaných PCH neobsahovala všechny z dílčí</w:t>
      </w:r>
      <w:r w:rsidR="00CE1B07">
        <w:rPr>
          <w:color w:val="000000"/>
        </w:rPr>
        <w:t>ch</w:t>
      </w:r>
      <w:r w:rsidR="00ED2FB7">
        <w:rPr>
          <w:color w:val="000000"/>
        </w:rPr>
        <w:t xml:space="preserve"> bod</w:t>
      </w:r>
      <w:r w:rsidR="00CE1B07">
        <w:rPr>
          <w:color w:val="000000"/>
        </w:rPr>
        <w:t>ů</w:t>
      </w:r>
      <w:r w:rsidR="00ED2FB7">
        <w:rPr>
          <w:color w:val="000000"/>
        </w:rPr>
        <w:t xml:space="preserve"> z kontrolního seznamu. Kontrolní seznam byl použit u 18 z pozorovaných předání. Statisticky</w:t>
      </w:r>
      <w:r w:rsidR="00CE1B07">
        <w:rPr>
          <w:color w:val="000000"/>
        </w:rPr>
        <w:t>,</w:t>
      </w:r>
      <w:r w:rsidR="00ED2FB7">
        <w:rPr>
          <w:color w:val="000000"/>
        </w:rPr>
        <w:t xml:space="preserve"> významně vyšší počet kontrolních bod</w:t>
      </w:r>
      <w:r w:rsidR="00CE1B07">
        <w:rPr>
          <w:color w:val="000000"/>
        </w:rPr>
        <w:t>ů</w:t>
      </w:r>
      <w:r w:rsidR="00ED2FB7">
        <w:rPr>
          <w:color w:val="000000"/>
        </w:rPr>
        <w:t xml:space="preserve"> obsahovalo před</w:t>
      </w:r>
      <w:r w:rsidR="00CE1B07">
        <w:rPr>
          <w:color w:val="000000"/>
        </w:rPr>
        <w:t>á</w:t>
      </w:r>
      <w:r w:rsidR="00ED2FB7">
        <w:rPr>
          <w:color w:val="000000"/>
        </w:rPr>
        <w:t>ní za použití kontrolního seznamu PCH (6,4 vs. 4,5 dílčích bodu, p &lt;0,05). Průměrná doba strávená PCH byla 6 minut. U 56 % se pacienti aktivně účastnili předávání služby. Celkově je potřeba zlepšit dodržování kontrolního seznamu u ošetřujícího personálu. Z pozorování vyplívá</w:t>
      </w:r>
      <w:r w:rsidR="00D44073">
        <w:rPr>
          <w:color w:val="000000"/>
        </w:rPr>
        <w:t>,</w:t>
      </w:r>
      <w:r w:rsidR="00ED2FB7">
        <w:rPr>
          <w:color w:val="000000"/>
        </w:rPr>
        <w:t xml:space="preserve"> pokud dojde k</w:t>
      </w:r>
      <w:r w:rsidR="00D44073">
        <w:rPr>
          <w:color w:val="000000"/>
        </w:rPr>
        <w:t>e školení v</w:t>
      </w:r>
      <w:r w:rsidR="00CE1B07">
        <w:rPr>
          <w:color w:val="000000"/>
        </w:rPr>
        <w:t> </w:t>
      </w:r>
      <w:r w:rsidR="00D44073">
        <w:rPr>
          <w:color w:val="000000"/>
        </w:rPr>
        <w:t>komunikaci</w:t>
      </w:r>
      <w:r w:rsidR="00CE1B07">
        <w:rPr>
          <w:color w:val="000000"/>
        </w:rPr>
        <w:t>,</w:t>
      </w:r>
      <w:r w:rsidR="00D44073">
        <w:rPr>
          <w:color w:val="000000"/>
        </w:rPr>
        <w:t xml:space="preserve"> bude předpoklad k vytvoření předávání zaměřené na osobu. </w:t>
      </w:r>
    </w:p>
    <w:p w14:paraId="4C7FC804" w14:textId="77777777" w:rsidR="00CE1B07" w:rsidRDefault="00D44073" w:rsidP="00CE1B07">
      <w:pPr>
        <w:pStyle w:val="Normlnweb"/>
        <w:jc w:val="both"/>
        <w:rPr>
          <w:b/>
          <w:bCs/>
          <w:color w:val="000000"/>
        </w:rPr>
      </w:pPr>
      <w:r w:rsidRPr="00D44073">
        <w:rPr>
          <w:b/>
          <w:bCs/>
          <w:color w:val="000000"/>
        </w:rPr>
        <w:t>Úvod</w:t>
      </w:r>
    </w:p>
    <w:p w14:paraId="7716FEBC" w14:textId="06C39865" w:rsidR="002775A4" w:rsidRPr="00CE1B07" w:rsidRDefault="00D44073" w:rsidP="00CE1B07">
      <w:pPr>
        <w:pStyle w:val="Normlnweb"/>
        <w:ind w:firstLine="708"/>
        <w:jc w:val="both"/>
        <w:rPr>
          <w:b/>
          <w:bCs/>
          <w:color w:val="000000"/>
        </w:rPr>
      </w:pPr>
      <w:r>
        <w:rPr>
          <w:color w:val="000000"/>
        </w:rPr>
        <w:t xml:space="preserve">Klinická výměna informací je nezbytnou součástí zdravotní péče, zvyšování kvality, kontinuitu, bezpečnosti, týmové práce a soustředění na pacienta (1–3). Předání zdravotnického personálu bylo popsáno jako </w:t>
      </w:r>
      <w:r w:rsidR="00713C3E">
        <w:rPr>
          <w:color w:val="000000"/>
        </w:rPr>
        <w:t>„</w:t>
      </w:r>
      <w:r>
        <w:rPr>
          <w:color w:val="000000"/>
        </w:rPr>
        <w:t xml:space="preserve">přenesení odpovědnosti za některé aspekty péče o pacienta </w:t>
      </w:r>
      <w:r w:rsidR="00713C3E">
        <w:rPr>
          <w:color w:val="000000"/>
        </w:rPr>
        <w:t xml:space="preserve">nebo skupinu pacientu na jiného zdravotníka nebo skupinu na dočasnou nebo trvalou bázi“ (4). </w:t>
      </w:r>
      <w:r w:rsidR="006A4F79">
        <w:rPr>
          <w:color w:val="000000"/>
        </w:rPr>
        <w:tab/>
      </w:r>
      <w:r w:rsidR="00713C3E">
        <w:rPr>
          <w:color w:val="000000"/>
        </w:rPr>
        <w:t>Ošetřovatelské „služba službě“, předání služby jsou uznány za složité a často přehlížené části výměny informacích, což může mít dopad na bezpečnost, spokojenost pacientů a také kontinuitu péče a další klinické výsledky (5). Ošetřovatelské předávání služby byl</w:t>
      </w:r>
      <w:r w:rsidR="00CE1B07">
        <w:rPr>
          <w:color w:val="000000"/>
        </w:rPr>
        <w:t>o</w:t>
      </w:r>
      <w:r w:rsidR="00713C3E">
        <w:rPr>
          <w:color w:val="000000"/>
        </w:rPr>
        <w:t xml:space="preserve"> silně kritizován</w:t>
      </w:r>
      <w:r w:rsidR="00CE1B07">
        <w:rPr>
          <w:color w:val="000000"/>
        </w:rPr>
        <w:t>o</w:t>
      </w:r>
      <w:r w:rsidR="00713C3E">
        <w:rPr>
          <w:color w:val="000000"/>
        </w:rPr>
        <w:t xml:space="preserve"> za to, že jsou nestrukturované, </w:t>
      </w:r>
      <w:r w:rsidR="00BF1F6C">
        <w:rPr>
          <w:color w:val="000000"/>
        </w:rPr>
        <w:t>neúčinné</w:t>
      </w:r>
      <w:r w:rsidR="00713C3E">
        <w:rPr>
          <w:color w:val="000000"/>
        </w:rPr>
        <w:t>, časově náročné a nesoustředěné na pacienty (6–8). Nejčastěji využívaný model sester je (1) ústní nebo písemné předání služby, které jsou často prováděny na sesterně bez možnosti účasti pacienta nebo jejich blízkých. Předání služby u lůžka je fyzické předání s účastí pacienta</w:t>
      </w:r>
      <w:r w:rsidR="00F43EFE">
        <w:rPr>
          <w:color w:val="000000"/>
        </w:rPr>
        <w:t xml:space="preserve">, </w:t>
      </w:r>
      <w:r w:rsidR="00713C3E">
        <w:rPr>
          <w:color w:val="000000"/>
        </w:rPr>
        <w:t xml:space="preserve">jejich </w:t>
      </w:r>
      <w:r w:rsidR="00F43EFE">
        <w:rPr>
          <w:color w:val="000000"/>
        </w:rPr>
        <w:t>blízkými,</w:t>
      </w:r>
      <w:r w:rsidR="00713C3E">
        <w:rPr>
          <w:color w:val="000000"/>
        </w:rPr>
        <w:t xml:space="preserve"> pokud jsou přítomni</w:t>
      </w:r>
      <w:r w:rsidR="00F43EFE">
        <w:rPr>
          <w:color w:val="000000"/>
        </w:rPr>
        <w:t xml:space="preserve"> a sestrami (9).</w:t>
      </w:r>
      <w:r w:rsidR="006A4F79">
        <w:rPr>
          <w:color w:val="000000"/>
        </w:rPr>
        <w:t xml:space="preserve"> </w:t>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F43EFE">
        <w:rPr>
          <w:color w:val="000000"/>
        </w:rPr>
        <w:t>Dva systematické p</w:t>
      </w:r>
      <w:r w:rsidR="00CE1B07">
        <w:rPr>
          <w:color w:val="000000"/>
        </w:rPr>
        <w:t>růzkumy</w:t>
      </w:r>
      <w:r w:rsidR="00F43EFE">
        <w:rPr>
          <w:color w:val="000000"/>
        </w:rPr>
        <w:t xml:space="preserve"> hodnotil</w:t>
      </w:r>
      <w:r w:rsidR="00CE1B07">
        <w:rPr>
          <w:color w:val="000000"/>
        </w:rPr>
        <w:t>y</w:t>
      </w:r>
      <w:r w:rsidR="00F43EFE">
        <w:rPr>
          <w:color w:val="000000"/>
        </w:rPr>
        <w:t xml:space="preserve"> různé modely předání (10,11). Autoři obou recenzí dospěli k závěru, že nelze doporučit žádný konkrétní model předávání služby sester oproti jiným. Bylo však doporučeno, aby předávání služby zahrnovalo výměnu informací a zapojení pacientů, také strukturovanou dokumentaci a dostatečné IT možnosti na podporu postupů (10). </w:t>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6A4F79">
        <w:rPr>
          <w:color w:val="000000"/>
        </w:rPr>
        <w:tab/>
      </w:r>
      <w:r w:rsidR="00F43EFE">
        <w:rPr>
          <w:color w:val="000000"/>
        </w:rPr>
        <w:t xml:space="preserve">Tradiční pohled na pacienta jako pasivního příjemce péče byl zpochybněn výsledky výzkumu a také nedávnou legislativou v mnoha zemích (12–15). Navzdory tomu nedávné švédské zprávy naznačují nedostatečnou účast pacientů (16,17). V literatuře se často </w:t>
      </w:r>
      <w:r w:rsidR="00E44C7D">
        <w:rPr>
          <w:color w:val="000000"/>
        </w:rPr>
        <w:t>zaměňují</w:t>
      </w:r>
      <w:r w:rsidR="00F43EFE">
        <w:rPr>
          <w:color w:val="000000"/>
        </w:rPr>
        <w:t xml:space="preserve"> pojmy jako </w:t>
      </w:r>
      <w:r w:rsidR="00E44C7D">
        <w:rPr>
          <w:color w:val="000000"/>
        </w:rPr>
        <w:t xml:space="preserve">účast a zapojení pacienta. </w:t>
      </w:r>
      <w:proofErr w:type="spellStart"/>
      <w:r w:rsidR="00E44C7D">
        <w:rPr>
          <w:color w:val="000000"/>
        </w:rPr>
        <w:t>Cahill</w:t>
      </w:r>
      <w:proofErr w:type="spellEnd"/>
      <w:r w:rsidR="00E44C7D">
        <w:rPr>
          <w:color w:val="000000"/>
        </w:rPr>
        <w:t xml:space="preserve"> však ve své koncepční analýze představuje tříúrovňový hierarchický model, přičemž první úroveň je jednosměrný proces, kde pohled pacienta je přehlížený. V druhém stupni je obousměrný proces, kdy každý přispívá do procesu péče. Nejvyšší žádoucí úroveň je partnerský model, kdy pacient a zdravotníci mají uzavřenou ústní nebo písemnou dohod</w:t>
      </w:r>
      <w:r w:rsidR="008D373D">
        <w:rPr>
          <w:color w:val="000000"/>
        </w:rPr>
        <w:t>u</w:t>
      </w:r>
      <w:r w:rsidR="00E44C7D">
        <w:rPr>
          <w:color w:val="000000"/>
        </w:rPr>
        <w:t xml:space="preserve">. </w:t>
      </w:r>
      <w:r w:rsidR="002E3B3B">
        <w:rPr>
          <w:color w:val="000000"/>
        </w:rPr>
        <w:t xml:space="preserve">Aktivní účast pacientů je uváděna pouze prostřednictvím vzájemných vztahů a společného rozhodování mezi pacienty a poskytovateli zdravotní péče (18). </w:t>
      </w:r>
      <w:proofErr w:type="spellStart"/>
      <w:r w:rsidR="002E3B3B">
        <w:rPr>
          <w:color w:val="000000"/>
        </w:rPr>
        <w:t>Flink</w:t>
      </w:r>
      <w:proofErr w:type="spellEnd"/>
      <w:r w:rsidR="002E3B3B">
        <w:rPr>
          <w:color w:val="000000"/>
        </w:rPr>
        <w:t xml:space="preserve"> et kol. (19) také popisuje tři různé úrovně účasti pacientů. V tomto modelu 1 je úroveň pacienta pasivní, zatím co zdravotnický personál má vedoucí úlohu. V druhém modelu </w:t>
      </w:r>
      <w:r w:rsidR="002E3B3B">
        <w:rPr>
          <w:color w:val="000000"/>
        </w:rPr>
        <w:lastRenderedPageBreak/>
        <w:t xml:space="preserve">podle </w:t>
      </w:r>
      <w:proofErr w:type="spellStart"/>
      <w:r w:rsidR="002E3B3B">
        <w:rPr>
          <w:color w:val="000000"/>
        </w:rPr>
        <w:t>Flink</w:t>
      </w:r>
      <w:proofErr w:type="spellEnd"/>
      <w:r w:rsidR="002E3B3B">
        <w:rPr>
          <w:color w:val="000000"/>
        </w:rPr>
        <w:t xml:space="preserve"> et kol. je vzájemný vztah pacient a zdravotník, sdílejí odpovědnost a vyměňují si podstatné informace, které jsou přínosem pro </w:t>
      </w:r>
      <w:r w:rsidR="006A4F79">
        <w:rPr>
          <w:color w:val="000000"/>
        </w:rPr>
        <w:t>pacienta i personál.</w:t>
      </w:r>
      <w:r w:rsidR="002E3B3B">
        <w:rPr>
          <w:color w:val="000000"/>
        </w:rPr>
        <w:t xml:space="preserve"> </w:t>
      </w:r>
      <w:proofErr w:type="spellStart"/>
      <w:r w:rsidR="006A4F79">
        <w:rPr>
          <w:color w:val="000000"/>
        </w:rPr>
        <w:t>Flink</w:t>
      </w:r>
      <w:proofErr w:type="spellEnd"/>
      <w:r w:rsidR="006A4F79">
        <w:rPr>
          <w:color w:val="000000"/>
        </w:rPr>
        <w:t xml:space="preserve"> et kol. (19) a </w:t>
      </w:r>
      <w:proofErr w:type="spellStart"/>
      <w:r w:rsidR="006A4F79">
        <w:rPr>
          <w:color w:val="000000"/>
        </w:rPr>
        <w:t>Cahill</w:t>
      </w:r>
      <w:proofErr w:type="spellEnd"/>
      <w:r w:rsidR="006A4F79">
        <w:rPr>
          <w:color w:val="000000"/>
        </w:rPr>
        <w:t xml:space="preserve"> (13) poukazují na přínos aktivní účasti pacientů na předáních služby. Předání služby mohou pacienti využít k získání informací a diskutovat s personálem o jakýchkoli záležitostech o zdraví. Pro personál to může být každodenní příležitost</w:t>
      </w:r>
      <w:r w:rsidR="00CE1B07">
        <w:rPr>
          <w:color w:val="000000"/>
        </w:rPr>
        <w:t>,</w:t>
      </w:r>
      <w:r w:rsidR="006A4F79">
        <w:rPr>
          <w:color w:val="000000"/>
        </w:rPr>
        <w:t xml:space="preserve"> získat informace o pacientech z první ruky, včetně preferencí, a tím zlepšit soustředění na pacienta.</w:t>
      </w:r>
      <w:r w:rsidR="00502201">
        <w:rPr>
          <w:color w:val="000000"/>
        </w:rPr>
        <w:tab/>
      </w:r>
      <w:r w:rsidR="00502201">
        <w:rPr>
          <w:color w:val="000000"/>
        </w:rPr>
        <w:tab/>
      </w:r>
      <w:r w:rsidR="00502201">
        <w:rPr>
          <w:color w:val="000000"/>
        </w:rPr>
        <w:tab/>
      </w:r>
      <w:r w:rsidR="00502201">
        <w:rPr>
          <w:color w:val="000000"/>
        </w:rPr>
        <w:tab/>
      </w:r>
      <w:r w:rsidR="00502201">
        <w:rPr>
          <w:color w:val="000000"/>
        </w:rPr>
        <w:tab/>
      </w:r>
      <w:r w:rsidR="00502201">
        <w:rPr>
          <w:color w:val="000000"/>
        </w:rPr>
        <w:tab/>
      </w:r>
      <w:r w:rsidR="00502201">
        <w:rPr>
          <w:color w:val="000000"/>
        </w:rPr>
        <w:tab/>
        <w:t xml:space="preserve">Péče zaměřená na pacienta (PCC) má zajistit, aby pacienti a poskytovatelé zdravotní péče byli v péči rovnocennými partnery, partnerství je proto považováno za klíčovou složku. </w:t>
      </w:r>
      <w:proofErr w:type="spellStart"/>
      <w:r w:rsidR="00502201">
        <w:rPr>
          <w:color w:val="000000"/>
        </w:rPr>
        <w:t>Maatta</w:t>
      </w:r>
      <w:proofErr w:type="spellEnd"/>
      <w:r w:rsidR="00502201">
        <w:rPr>
          <w:color w:val="000000"/>
        </w:rPr>
        <w:t xml:space="preserve"> et kol. (20) </w:t>
      </w:r>
      <w:r w:rsidR="002775A4">
        <w:rPr>
          <w:color w:val="000000"/>
        </w:rPr>
        <w:t xml:space="preserve">diskutuje o pojmu partnerství a možných obtíží z důvodu nejasnosti samotného pojmu, pokud jde o provádění PCC. Podle </w:t>
      </w:r>
      <w:proofErr w:type="spellStart"/>
      <w:r w:rsidR="002775A4">
        <w:rPr>
          <w:color w:val="000000"/>
        </w:rPr>
        <w:t>Ekmana</w:t>
      </w:r>
      <w:proofErr w:type="spellEnd"/>
      <w:r w:rsidR="002775A4">
        <w:rPr>
          <w:color w:val="000000"/>
        </w:rPr>
        <w:t xml:space="preserve"> a kol. (21) partnerství v PCC je založeno na vzájemné dohodě mezi zúčastněnými stranami a přesunu moci ve prospěch pacienta. Toto lze dosáhnout začleněním pacientů a jejich blízkých do rozhodování o péči, přičemž jde o odborníky na jejich vlastní život v kooperaci se zdravotníky zajišťující co nejlepší výsledek. Zodpovědností každého zdravotníka je nabádat pacienty, aby se ujali aktivní role, a současně brát zřetel na individuální schopnosti, práva a osobní hodnoty (21). Intervence podporující PCC prokázaly pozitivní vliv na spokojenost pacientů (22,23) bezpečnost (24) </w:t>
      </w:r>
      <w:proofErr w:type="gramStart"/>
      <w:r w:rsidR="001545D9">
        <w:rPr>
          <w:color w:val="000000"/>
        </w:rPr>
        <w:t>a‚ část</w:t>
      </w:r>
      <w:proofErr w:type="gramEnd"/>
      <w:r w:rsidR="002775A4">
        <w:rPr>
          <w:color w:val="000000"/>
        </w:rPr>
        <w:t xml:space="preserve"> pacientů (17,25).</w:t>
      </w:r>
      <w:r w:rsidR="002775A4">
        <w:rPr>
          <w:color w:val="000000"/>
        </w:rPr>
        <w:tab/>
      </w:r>
      <w:r w:rsidR="002775A4">
        <w:rPr>
          <w:color w:val="000000"/>
        </w:rPr>
        <w:tab/>
      </w:r>
      <w:r w:rsidR="002775A4">
        <w:rPr>
          <w:color w:val="000000"/>
        </w:rPr>
        <w:tab/>
      </w:r>
      <w:r w:rsidR="002775A4">
        <w:rPr>
          <w:color w:val="000000"/>
        </w:rPr>
        <w:tab/>
      </w:r>
      <w:r w:rsidR="002775A4">
        <w:rPr>
          <w:color w:val="000000"/>
        </w:rPr>
        <w:tab/>
      </w:r>
      <w:r w:rsidR="002775A4">
        <w:rPr>
          <w:color w:val="000000"/>
        </w:rPr>
        <w:tab/>
      </w:r>
      <w:r w:rsidR="002775A4">
        <w:rPr>
          <w:color w:val="000000"/>
        </w:rPr>
        <w:tab/>
      </w:r>
      <w:r w:rsidR="002775A4">
        <w:rPr>
          <w:color w:val="000000"/>
        </w:rPr>
        <w:tab/>
      </w:r>
      <w:r w:rsidR="002775A4">
        <w:rPr>
          <w:color w:val="000000"/>
        </w:rPr>
        <w:tab/>
      </w:r>
      <w:r w:rsidR="002775A4">
        <w:rPr>
          <w:color w:val="000000"/>
        </w:rPr>
        <w:tab/>
      </w:r>
      <w:r w:rsidR="00CD0EF1">
        <w:rPr>
          <w:color w:val="000000"/>
        </w:rPr>
        <w:t xml:space="preserve">Na onkologickém oddělení Univerzitní Nemocnice </w:t>
      </w:r>
      <w:proofErr w:type="spellStart"/>
      <w:r w:rsidR="00CD0EF1">
        <w:rPr>
          <w:color w:val="000000"/>
        </w:rPr>
        <w:t>Karolinska</w:t>
      </w:r>
      <w:proofErr w:type="spellEnd"/>
      <w:r w:rsidR="00CD0EF1">
        <w:rPr>
          <w:color w:val="000000"/>
        </w:rPr>
        <w:t xml:space="preserve"> (26), vyvinuli, realizovali a vyhodnotili předání mezi zdravotníky zaměřené na pacienty PCH. Model PCH se skládá z pěti skupin A. příprava, B. úvod, C. výměna informací, D. zapojení pacienta, E. bezpečnostní kontrola) na základě standardního operačního postupy pro předání u lůžka (27) a SBAR (situace, původ, hodnocení, doporučení</w:t>
      </w:r>
      <w:r w:rsidR="00BC377C">
        <w:rPr>
          <w:color w:val="000000"/>
        </w:rPr>
        <w:t>) komunikační protokol (28). SBAR, který byl původně vytvořen pro mezi profesní komunikaci, prokázal výhody při předání směn mezi sestrami a přispěl ke zvýšení struktury, formy, komplexnosti a aktivní účasti pacientů (29,30).</w:t>
      </w:r>
      <w:r w:rsidR="001545D9">
        <w:rPr>
          <w:color w:val="000000"/>
        </w:rPr>
        <w:tab/>
      </w:r>
      <w:r w:rsidR="00BC377C">
        <w:rPr>
          <w:color w:val="000000"/>
        </w:rPr>
        <w:t xml:space="preserve"> Byl vytvořen kontrolní seznam, který má pomoci zdravotníkům zajistit strukturovanou a standardizovanou výměnu informací během PCH. Model PCH poté byl opraven pro nový účel. </w:t>
      </w:r>
      <w:r w:rsidR="003D2367">
        <w:rPr>
          <w:color w:val="000000"/>
        </w:rPr>
        <w:t>Realizace byla zahájena opakovanými přednáškami, workshopy a hraním rolí (jednodenní školení pro všechny zaměstnance oddělení). Během těchto dnů mohli zaměstnanci diskutovat, vznášet obavy a vyzkoušet si různé role v modelu PCH. Kontrolní seznam a informační leták byl</w:t>
      </w:r>
      <w:r w:rsidR="00CE1B07">
        <w:rPr>
          <w:color w:val="000000"/>
        </w:rPr>
        <w:t>y</w:t>
      </w:r>
      <w:r w:rsidR="003D2367">
        <w:rPr>
          <w:color w:val="000000"/>
        </w:rPr>
        <w:t xml:space="preserve"> ve spolupr</w:t>
      </w:r>
      <w:r w:rsidR="00CE1B07">
        <w:rPr>
          <w:color w:val="000000"/>
        </w:rPr>
        <w:t>á</w:t>
      </w:r>
      <w:r w:rsidR="003D2367">
        <w:rPr>
          <w:color w:val="000000"/>
        </w:rPr>
        <w:t>c</w:t>
      </w:r>
      <w:r w:rsidR="00CE1B07">
        <w:rPr>
          <w:color w:val="000000"/>
        </w:rPr>
        <w:t>i</w:t>
      </w:r>
      <w:r w:rsidR="003D2367">
        <w:rPr>
          <w:color w:val="000000"/>
        </w:rPr>
        <w:t xml:space="preserve"> se zaměstnanci oddělení upraveny tak, aby vyhovovali novému účelu.  </w:t>
      </w:r>
      <w:r w:rsidR="00CE1B07">
        <w:rPr>
          <w:color w:val="000000"/>
        </w:rPr>
        <w:t>P</w:t>
      </w:r>
      <w:r w:rsidR="003D2367">
        <w:rPr>
          <w:color w:val="000000"/>
        </w:rPr>
        <w:t>růběh projektu se projednával na měsíčních pravidelných schůzkách</w:t>
      </w:r>
      <w:r w:rsidR="001545D9">
        <w:rPr>
          <w:color w:val="000000"/>
        </w:rPr>
        <w:t xml:space="preserve"> (účastnil se alespoň jeden výzkumný pracovník) během celé fáze plánovaní a průběhu. Připomínky PCH byly dalším krokem v průběhu s cílem najít slabá místa, která vyžadují další akce/školení. Model byl poté realizován a vyhodnocen na dvou oddělen</w:t>
      </w:r>
      <w:r w:rsidR="00441837">
        <w:rPr>
          <w:color w:val="000000"/>
        </w:rPr>
        <w:t>ích</w:t>
      </w:r>
      <w:r w:rsidR="001545D9">
        <w:rPr>
          <w:color w:val="000000"/>
        </w:rPr>
        <w:t xml:space="preserve"> </w:t>
      </w:r>
      <w:r w:rsidR="000F40CE">
        <w:rPr>
          <w:color w:val="000000"/>
        </w:rPr>
        <w:t>centra pro gastrointestinální onemocnění ve stejné nemocnici</w:t>
      </w:r>
      <w:r w:rsidR="00441837">
        <w:rPr>
          <w:color w:val="000000"/>
        </w:rPr>
        <w:t>,</w:t>
      </w:r>
      <w:r w:rsidR="000F40CE">
        <w:rPr>
          <w:color w:val="000000"/>
        </w:rPr>
        <w:t xml:space="preserve"> ve spolupráci studijní skupiny s vedením oddělení. </w:t>
      </w:r>
      <w:proofErr w:type="spellStart"/>
      <w:r w:rsidR="000F40CE">
        <w:rPr>
          <w:color w:val="000000"/>
        </w:rPr>
        <w:t>Richer</w:t>
      </w:r>
      <w:proofErr w:type="spellEnd"/>
      <w:r w:rsidR="000F40CE">
        <w:rPr>
          <w:color w:val="000000"/>
        </w:rPr>
        <w:t xml:space="preserve"> et kol. (3) popisuje význam přizpůsobení postupů předávání konkrétnímu kontextu pro větší úspěch provedení, včetně souladu s novým modelem. Doba přidělená pro přípravu PCH byla přibližně půl hodiny (pro čtení elektronické dokumentace, ERH).</w:t>
      </w:r>
    </w:p>
    <w:p w14:paraId="34ACD5DD" w14:textId="3D7EBAE3" w:rsidR="000F40CE" w:rsidRDefault="000F40CE" w:rsidP="000F40CE">
      <w:pPr>
        <w:pStyle w:val="Normlnweb"/>
        <w:ind w:firstLine="708"/>
        <w:jc w:val="both"/>
        <w:rPr>
          <w:b/>
          <w:bCs/>
          <w:color w:val="000000"/>
        </w:rPr>
      </w:pPr>
      <w:r w:rsidRPr="000F40CE">
        <w:rPr>
          <w:b/>
          <w:bCs/>
          <w:color w:val="000000"/>
        </w:rPr>
        <w:t>Cíl</w:t>
      </w:r>
    </w:p>
    <w:p w14:paraId="41D46836" w14:textId="42DB3F3F" w:rsidR="000F40CE" w:rsidRDefault="000F40CE" w:rsidP="000F40CE">
      <w:pPr>
        <w:pStyle w:val="Normlnweb"/>
        <w:ind w:firstLine="708"/>
        <w:jc w:val="both"/>
        <w:rPr>
          <w:color w:val="000000"/>
        </w:rPr>
      </w:pPr>
      <w:r>
        <w:rPr>
          <w:color w:val="000000"/>
        </w:rPr>
        <w:t xml:space="preserve">Cílem tohoto projektu bylo zvýšit kvalitu poskytované péče, popsat a zhodnotit zdravotnický personál (RN, </w:t>
      </w:r>
      <w:proofErr w:type="spellStart"/>
      <w:r>
        <w:rPr>
          <w:color w:val="000000"/>
        </w:rPr>
        <w:t>nurse</w:t>
      </w:r>
      <w:proofErr w:type="spellEnd"/>
      <w:r>
        <w:rPr>
          <w:color w:val="000000"/>
        </w:rPr>
        <w:t xml:space="preserve"> </w:t>
      </w:r>
      <w:proofErr w:type="spellStart"/>
      <w:r>
        <w:rPr>
          <w:color w:val="000000"/>
        </w:rPr>
        <w:t>assi</w:t>
      </w:r>
      <w:r w:rsidR="008C64A9">
        <w:rPr>
          <w:color w:val="000000"/>
        </w:rPr>
        <w:t>stants</w:t>
      </w:r>
      <w:proofErr w:type="spellEnd"/>
      <w:r w:rsidR="008C64A9">
        <w:rPr>
          <w:color w:val="000000"/>
        </w:rPr>
        <w:t>, NA)</w:t>
      </w:r>
    </w:p>
    <w:p w14:paraId="7AB1881D" w14:textId="6080395B" w:rsidR="008C64A9" w:rsidRDefault="008C64A9" w:rsidP="008C64A9">
      <w:pPr>
        <w:pStyle w:val="Normlnweb"/>
        <w:ind w:firstLine="708"/>
        <w:jc w:val="both"/>
        <w:rPr>
          <w:b/>
          <w:bCs/>
          <w:color w:val="000000"/>
        </w:rPr>
      </w:pPr>
      <w:r w:rsidRPr="008C64A9">
        <w:rPr>
          <w:b/>
          <w:bCs/>
          <w:color w:val="000000"/>
        </w:rPr>
        <w:t>Metody</w:t>
      </w:r>
    </w:p>
    <w:p w14:paraId="322547DA" w14:textId="5D57DDA0" w:rsidR="008C64A9" w:rsidRDefault="008C64A9" w:rsidP="008C64A9">
      <w:pPr>
        <w:pStyle w:val="Normlnweb"/>
        <w:ind w:firstLine="708"/>
        <w:jc w:val="both"/>
        <w:rPr>
          <w:color w:val="000000"/>
        </w:rPr>
      </w:pPr>
      <w:r>
        <w:rPr>
          <w:color w:val="000000"/>
        </w:rPr>
        <w:t>Projekt na zvýšení kvality péče byl uskutečněn na dvou oddělení</w:t>
      </w:r>
      <w:r w:rsidR="00441837">
        <w:rPr>
          <w:color w:val="000000"/>
        </w:rPr>
        <w:t>ch</w:t>
      </w:r>
      <w:r>
        <w:rPr>
          <w:color w:val="000000"/>
        </w:rPr>
        <w:t xml:space="preserve"> univerzitní nemocnice. Zaměstnanci obou oddělení měli stejný pracovní plán se službami 8–8,5 hodiny a někteří zaměstnanci pracovali v nočních službách (10 hodin směna). Obě oddělení se specializují na chirurgii dutiny břišní, </w:t>
      </w:r>
      <w:proofErr w:type="spellStart"/>
      <w:r>
        <w:rPr>
          <w:color w:val="000000"/>
        </w:rPr>
        <w:t>hepatologii</w:t>
      </w:r>
      <w:proofErr w:type="spellEnd"/>
      <w:r>
        <w:rPr>
          <w:color w:val="000000"/>
        </w:rPr>
        <w:t>,</w:t>
      </w:r>
      <w:r w:rsidR="00A950D5">
        <w:rPr>
          <w:color w:val="000000"/>
        </w:rPr>
        <w:t xml:space="preserve"> </w:t>
      </w:r>
      <w:proofErr w:type="spellStart"/>
      <w:r w:rsidR="00A950D5">
        <w:rPr>
          <w:color w:val="000000"/>
        </w:rPr>
        <w:t>intenstinální</w:t>
      </w:r>
      <w:proofErr w:type="spellEnd"/>
      <w:r w:rsidR="00A950D5">
        <w:rPr>
          <w:color w:val="000000"/>
        </w:rPr>
        <w:t xml:space="preserve"> chirurgii. Také poskytují </w:t>
      </w:r>
      <w:r w:rsidR="00A950D5">
        <w:rPr>
          <w:color w:val="000000"/>
        </w:rPr>
        <w:lastRenderedPageBreak/>
        <w:t xml:space="preserve">nepřetržitou chirurgickou a lékařskou péči dospělým pacientům. </w:t>
      </w:r>
      <w:r>
        <w:rPr>
          <w:color w:val="000000"/>
        </w:rPr>
        <w:t xml:space="preserve"> </w:t>
      </w:r>
      <w:r w:rsidR="00A950D5">
        <w:rPr>
          <w:color w:val="000000"/>
        </w:rPr>
        <w:t xml:space="preserve">Příjem pacientů je akutní nebo plánovaný. V tabulce 1 je uveden počet lůžek, medián délky hospitalizace pacienta, index pracovní zátěže, poměr zaměstnanců, počet sester (s délkou praxe, roky). V důsledku zavedení PCH nebyli provedené žádné změny ve službách personálu – předání probíhala při překrývání služeb mezi ranní a noční službou. </w:t>
      </w:r>
      <w:r w:rsidR="00B869B6">
        <w:rPr>
          <w:color w:val="000000"/>
        </w:rPr>
        <w:t>Pozorování byla prováděna v náhodných dnech v intervalu po třech měsících, tři až sedm měsíců po zavedení PCH. Dny byli vybírány tak, aby se zamezilo pozorování ve stejný pracovní den a také v</w:t>
      </w:r>
      <w:r w:rsidR="00441837">
        <w:rPr>
          <w:color w:val="000000"/>
        </w:rPr>
        <w:t>e</w:t>
      </w:r>
      <w:r w:rsidR="00B869B6">
        <w:rPr>
          <w:color w:val="000000"/>
        </w:rPr>
        <w:t> státní a jiné svátky, které nejsou vhodné k výzkumu. Například jsme se vyhnuli pozorování na stejném oddělení více dní po sobě, protože hrozilo vysoké riziko již pozorovaných pacientů. Strategi</w:t>
      </w:r>
      <w:r w:rsidR="00441837">
        <w:rPr>
          <w:color w:val="000000"/>
        </w:rPr>
        <w:t>í</w:t>
      </w:r>
      <w:r w:rsidR="00B869B6">
        <w:rPr>
          <w:color w:val="000000"/>
        </w:rPr>
        <w:t xml:space="preserve"> projektu</w:t>
      </w:r>
      <w:r w:rsidR="00441837">
        <w:rPr>
          <w:color w:val="000000"/>
        </w:rPr>
        <w:t>,</w:t>
      </w:r>
      <w:r w:rsidR="00B869B6">
        <w:rPr>
          <w:color w:val="000000"/>
        </w:rPr>
        <w:t xml:space="preserve"> byla úzká spolupráce mezi třemi výzkumníky, a managementem (vrchními sestrami,</w:t>
      </w:r>
      <w:r w:rsidR="00D56205">
        <w:rPr>
          <w:color w:val="000000"/>
        </w:rPr>
        <w:t xml:space="preserve"> hlavní sestrou) a klinickými pracovníky. Všichni pracovníci byli zapojeni do každé části procesu výzkumu. </w:t>
      </w:r>
    </w:p>
    <w:p w14:paraId="004769FE" w14:textId="3B008AC7" w:rsidR="00B869B6" w:rsidRDefault="00D56205" w:rsidP="00D56205">
      <w:pPr>
        <w:pStyle w:val="Normlnweb"/>
        <w:jc w:val="both"/>
        <w:rPr>
          <w:i/>
          <w:iCs/>
          <w:color w:val="000000"/>
        </w:rPr>
      </w:pPr>
      <w:r>
        <w:rPr>
          <w:color w:val="000000"/>
        </w:rPr>
        <w:tab/>
      </w:r>
      <w:r>
        <w:rPr>
          <w:i/>
          <w:iCs/>
          <w:color w:val="000000"/>
        </w:rPr>
        <w:t>Pozorování</w:t>
      </w:r>
    </w:p>
    <w:p w14:paraId="0E76355D" w14:textId="4C2694F1" w:rsidR="00645C84" w:rsidRDefault="00D56205" w:rsidP="00645C84">
      <w:pPr>
        <w:pStyle w:val="Normlnweb"/>
        <w:jc w:val="both"/>
        <w:rPr>
          <w:color w:val="000000"/>
        </w:rPr>
      </w:pPr>
      <w:r>
        <w:rPr>
          <w:color w:val="000000"/>
        </w:rPr>
        <w:tab/>
        <w:t xml:space="preserve">Údaje z pozorování byli shromažďovány prostřednictvím přímých a strukturovaných pozorování. Pozornost byla zaměřena na dodržování kontrolního seznamu ošetřujícím personálem během PCH. Každé pozorování se řídilo stejnou strukturou uvedenou v pozorovacím protokolu, který vypracovala výzkumná skupina. Protokol pokrýval model PCH. To zahrnovalo 13 položek rozdělených do 5 bodů a </w:t>
      </w:r>
      <w:r w:rsidR="004A30D1">
        <w:rPr>
          <w:color w:val="000000"/>
        </w:rPr>
        <w:t xml:space="preserve">pod bodů (A1 příprava, B1–2 úvod, C1–3 výměna informací, D1–3 zapojení pacientů, E1–6 bezpečnostní kontrola). Tabulka 2. provedené složky PCH spolu s vyhotovenými poznámkami (čas potřebný pro každou část, počet zúčastněných osob, zda byl použit kontrolní seznam PCH (ano/ne), počet a důvod přerušení) byli zadokumentovány do sledovacího protokolu PCH výzkumníků. Do sledování nebyl zahrnutý personál agentury. </w:t>
      </w:r>
      <w:r w:rsidR="00645C84" w:rsidRPr="00645C84">
        <w:rPr>
          <w:color w:val="000000"/>
        </w:rPr>
        <w:t xml:space="preserve">Úroveň účasti pacientů byla podle </w:t>
      </w:r>
      <w:proofErr w:type="spellStart"/>
      <w:r w:rsidR="00645C84" w:rsidRPr="00645C84">
        <w:rPr>
          <w:color w:val="000000"/>
        </w:rPr>
        <w:t>Flink</w:t>
      </w:r>
      <w:proofErr w:type="spellEnd"/>
      <w:r w:rsidR="00645C84" w:rsidRPr="00645C84">
        <w:rPr>
          <w:color w:val="000000"/>
        </w:rPr>
        <w:t xml:space="preserve"> a kol. (19) zařazena do kategorií „pasivní pacient, personál s vedoucí úlohou“ (D1), „trpělivý a personál sdílející odpovědnost, výměna informací“ (D2) nebo „aktivní pacient s vedoucí úlohou (D3)“.</w:t>
      </w:r>
      <w:r w:rsidR="00645C84">
        <w:rPr>
          <w:color w:val="000000"/>
        </w:rPr>
        <w:tab/>
      </w:r>
      <w:r w:rsidR="00645C84">
        <w:rPr>
          <w:color w:val="000000"/>
        </w:rPr>
        <w:tab/>
      </w:r>
      <w:r w:rsidR="00645C84" w:rsidRPr="00645C84">
        <w:rPr>
          <w:color w:val="000000"/>
        </w:rPr>
        <w:t xml:space="preserve">Všechna pozorování prováděla stejná odborná sestra, která měla předchozí zkušenosti s PCH. Byla přítomna, jako součást ošetřujícího týmu, během celého sezení PCH, aniž by zasahovala do </w:t>
      </w:r>
      <w:r w:rsidR="00645C84">
        <w:rPr>
          <w:color w:val="000000"/>
        </w:rPr>
        <w:t>pozorování</w:t>
      </w:r>
      <w:r w:rsidR="00645C84" w:rsidRPr="00645C84">
        <w:rPr>
          <w:color w:val="000000"/>
        </w:rPr>
        <w:t xml:space="preserve">. Tato sestra byla stálým zaměstnancem a byla obeznámena s rutinou a organizací. Byla však zaměstnána na jiném nemocničním </w:t>
      </w:r>
      <w:r w:rsidR="00645C84">
        <w:rPr>
          <w:color w:val="000000"/>
        </w:rPr>
        <w:t>oddělení</w:t>
      </w:r>
      <w:r w:rsidR="00645C84" w:rsidRPr="00645C84">
        <w:rPr>
          <w:color w:val="000000"/>
        </w:rPr>
        <w:t xml:space="preserve">, což znamená, že osobně neznala personál ani pacienty na odděleních, kde </w:t>
      </w:r>
      <w:r w:rsidR="00645C84">
        <w:rPr>
          <w:color w:val="000000"/>
        </w:rPr>
        <w:t>pozorování</w:t>
      </w:r>
      <w:r w:rsidR="00645C84" w:rsidRPr="00645C84">
        <w:rPr>
          <w:color w:val="000000"/>
        </w:rPr>
        <w:t xml:space="preserve"> prováděla. Žádný pacient nebyl pozorován více než jednou. Pozorovatel vedl seznam pozorovaných pacientů, který obsahoval pouze iniciály pacientů, rok narození, oddělení a datum pozorování. Tento seznam byl uložen v zamčené skříni a po celou dobu byl k dispozici pouze pozorovateli. Po ukončení sběru dat pozorovatel seznam</w:t>
      </w:r>
      <w:r w:rsidR="00645C84">
        <w:rPr>
          <w:color w:val="000000"/>
        </w:rPr>
        <w:t xml:space="preserve"> pacientů</w:t>
      </w:r>
      <w:r w:rsidR="00645C84" w:rsidRPr="00645C84">
        <w:rPr>
          <w:color w:val="000000"/>
        </w:rPr>
        <w:t xml:space="preserve"> </w:t>
      </w:r>
      <w:r w:rsidR="00441837">
        <w:rPr>
          <w:color w:val="000000"/>
        </w:rPr>
        <w:t>skartoval</w:t>
      </w:r>
      <w:r w:rsidR="00645C84" w:rsidRPr="00645C84">
        <w:rPr>
          <w:color w:val="000000"/>
        </w:rPr>
        <w:t>.</w:t>
      </w:r>
    </w:p>
    <w:p w14:paraId="6548A9F6" w14:textId="77777777" w:rsidR="00645C84" w:rsidRPr="00645C84" w:rsidRDefault="00645C84" w:rsidP="00645C84">
      <w:pPr>
        <w:pStyle w:val="Normlnweb"/>
        <w:ind w:firstLine="708"/>
        <w:jc w:val="both"/>
        <w:rPr>
          <w:i/>
          <w:iCs/>
          <w:color w:val="000000"/>
        </w:rPr>
      </w:pPr>
      <w:r w:rsidRPr="00645C84">
        <w:rPr>
          <w:i/>
          <w:iCs/>
          <w:color w:val="000000"/>
        </w:rPr>
        <w:t>Etické úvahy</w:t>
      </w:r>
    </w:p>
    <w:p w14:paraId="2560F9B8" w14:textId="710CB7AB" w:rsidR="00645C84" w:rsidRDefault="00645C84" w:rsidP="00645C84">
      <w:pPr>
        <w:pStyle w:val="Normlnweb"/>
        <w:ind w:firstLine="708"/>
        <w:jc w:val="both"/>
        <w:rPr>
          <w:color w:val="000000"/>
        </w:rPr>
      </w:pPr>
      <w:r w:rsidRPr="00645C84">
        <w:rPr>
          <w:color w:val="000000"/>
        </w:rPr>
        <w:t>V rámci tohoto projektu zvyšování kvality</w:t>
      </w:r>
      <w:r w:rsidR="00441837">
        <w:rPr>
          <w:color w:val="000000"/>
        </w:rPr>
        <w:t>,</w:t>
      </w:r>
      <w:r w:rsidRPr="00645C84">
        <w:rPr>
          <w:color w:val="000000"/>
        </w:rPr>
        <w:t xml:space="preserve"> byly údaje shromažďovány pozorováním, což je </w:t>
      </w:r>
      <w:r>
        <w:rPr>
          <w:color w:val="000000"/>
        </w:rPr>
        <w:t>totožná</w:t>
      </w:r>
      <w:r w:rsidRPr="00645C84">
        <w:rPr>
          <w:color w:val="000000"/>
        </w:rPr>
        <w:t xml:space="preserve"> metoda, která se používá pro sběr údajů pro jiné ukazatele kvality, jako jsou výstupy citlivé na zdravotní sestry. Pravidelně je například pozorována interakce pacienta se zdravotní sestrou v souvislosti s podáváním léků, v souladu se švédskými národními pokyny pro kvalitu péče. V obou případech jde spíše o odborníky než o pacienty. V důsledku toho nebyly v rámci tohoto projektu shromážděny žádné údaje o charakteristikách pacientů. Model PCH byl vytvořen již před sběrem údajů a tvořil základy pro hodnocení. Při přijetí však všichni pacienti obdrželi písemnou informaci popisující PCH, včetně odstavce o dobrovolnosti a možnosti se odhlásit. Tato informace zahrnovala také </w:t>
      </w:r>
      <w:r>
        <w:rPr>
          <w:color w:val="000000"/>
        </w:rPr>
        <w:t>rodinu pacienta</w:t>
      </w:r>
      <w:r w:rsidRPr="00645C84">
        <w:rPr>
          <w:color w:val="000000"/>
        </w:rPr>
        <w:t>, pokud byli přítomni při předání. Ošetřující personál dal před každým pozorováním svůj ústní souhlas. Navzdory neexistenci postupu informovaného souhlasu</w:t>
      </w:r>
      <w:r w:rsidR="00441837">
        <w:rPr>
          <w:color w:val="000000"/>
        </w:rPr>
        <w:t>,</w:t>
      </w:r>
      <w:r w:rsidRPr="00645C84">
        <w:rPr>
          <w:color w:val="000000"/>
        </w:rPr>
        <w:t xml:space="preserve"> byla během pozorování přijata veškerá opatření </w:t>
      </w:r>
      <w:r w:rsidRPr="00645C84">
        <w:rPr>
          <w:color w:val="000000"/>
        </w:rPr>
        <w:lastRenderedPageBreak/>
        <w:t>na ochranu pacienta. Formální etické schválení nebylo nutné, protože projekt byl součástí hodnocení standardního postupu péče. Projekt byl schválen vedoucím odboru.</w:t>
      </w:r>
    </w:p>
    <w:p w14:paraId="740305CD" w14:textId="77777777" w:rsidR="00414F2B" w:rsidRPr="00414F2B" w:rsidRDefault="00414F2B" w:rsidP="00414F2B">
      <w:pPr>
        <w:pStyle w:val="Normlnweb"/>
        <w:ind w:firstLine="708"/>
        <w:jc w:val="both"/>
        <w:rPr>
          <w:i/>
          <w:iCs/>
          <w:color w:val="000000"/>
        </w:rPr>
      </w:pPr>
      <w:r w:rsidRPr="00414F2B">
        <w:rPr>
          <w:i/>
          <w:iCs/>
          <w:color w:val="000000"/>
        </w:rPr>
        <w:t>Analýza dat</w:t>
      </w:r>
    </w:p>
    <w:p w14:paraId="354ED50E" w14:textId="43B09F79" w:rsidR="00414F2B" w:rsidRDefault="00414F2B" w:rsidP="00414F2B">
      <w:pPr>
        <w:pStyle w:val="Normlnweb"/>
        <w:ind w:firstLine="708"/>
        <w:jc w:val="both"/>
        <w:rPr>
          <w:color w:val="000000"/>
        </w:rPr>
      </w:pPr>
      <w:r w:rsidRPr="00414F2B">
        <w:rPr>
          <w:color w:val="000000"/>
        </w:rPr>
        <w:t>Byl</w:t>
      </w:r>
      <w:r>
        <w:rPr>
          <w:color w:val="000000"/>
        </w:rPr>
        <w:t>a</w:t>
      </w:r>
      <w:r w:rsidRPr="00414F2B">
        <w:rPr>
          <w:color w:val="000000"/>
        </w:rPr>
        <w:t xml:space="preserve"> shrnut</w:t>
      </w:r>
      <w:r>
        <w:rPr>
          <w:color w:val="000000"/>
        </w:rPr>
        <w:t>a</w:t>
      </w:r>
      <w:r w:rsidRPr="00414F2B">
        <w:rPr>
          <w:color w:val="000000"/>
        </w:rPr>
        <w:t xml:space="preserve"> a popsán</w:t>
      </w:r>
      <w:r>
        <w:rPr>
          <w:color w:val="000000"/>
        </w:rPr>
        <w:t>a</w:t>
      </w:r>
      <w:r w:rsidRPr="00414F2B">
        <w:rPr>
          <w:color w:val="000000"/>
        </w:rPr>
        <w:t xml:space="preserve"> četnost a podíly sledovaných kontrolních složek PCH, míra účasti pacienta a další položky protokolu sledování. Byly provedeny nespárované t-testy, které testovaly rozdíly v použití kontrolních seznamů (ano/ne) v čase potřebném pro PCH u lůžka (s kontrolním seznamem nebo bez něj) a v počtu provedených složek (A-E) během PCR (s kontrolním seznamem nebo bez něj).</w:t>
      </w:r>
    </w:p>
    <w:p w14:paraId="5BA4452F" w14:textId="77777777" w:rsidR="00414F2B" w:rsidRPr="00414F2B" w:rsidRDefault="00414F2B" w:rsidP="00414F2B">
      <w:pPr>
        <w:pStyle w:val="Normlnweb"/>
        <w:ind w:firstLine="708"/>
        <w:jc w:val="both"/>
        <w:rPr>
          <w:b/>
          <w:bCs/>
          <w:color w:val="000000"/>
        </w:rPr>
      </w:pPr>
      <w:r w:rsidRPr="00414F2B">
        <w:rPr>
          <w:b/>
          <w:bCs/>
          <w:color w:val="000000"/>
        </w:rPr>
        <w:t>Výsledky</w:t>
      </w:r>
    </w:p>
    <w:p w14:paraId="397FA3D6" w14:textId="7DF6C83F" w:rsidR="00414F2B" w:rsidRDefault="00414F2B" w:rsidP="00414F2B">
      <w:pPr>
        <w:pStyle w:val="Normlnweb"/>
        <w:ind w:firstLine="708"/>
        <w:jc w:val="both"/>
        <w:rPr>
          <w:color w:val="000000"/>
          <w:u w:val="single"/>
        </w:rPr>
      </w:pPr>
      <w:r w:rsidRPr="00414F2B">
        <w:rPr>
          <w:color w:val="000000"/>
        </w:rPr>
        <w:t xml:space="preserve">Během března až května 2016 bylo provedeno celkem 43 pozorování PCH. Rozdíly mezi odděleními, pokud jde o počet lůžek, délku pobytu, pracovní zátěž, poměr zaměstnanců, úroveň vzdělání </w:t>
      </w:r>
      <w:r>
        <w:rPr>
          <w:color w:val="000000"/>
        </w:rPr>
        <w:t>všeobecných sester (</w:t>
      </w:r>
      <w:r w:rsidRPr="00414F2B">
        <w:rPr>
          <w:color w:val="000000"/>
        </w:rPr>
        <w:t>RN</w:t>
      </w:r>
      <w:r>
        <w:rPr>
          <w:color w:val="000000"/>
        </w:rPr>
        <w:t>)</w:t>
      </w:r>
      <w:r w:rsidRPr="00414F2B">
        <w:rPr>
          <w:color w:val="000000"/>
        </w:rPr>
        <w:t xml:space="preserve"> a roky praxe, jsou uvedeny v tabulce 1. Žádné ze 43 sezení PCH nezahrnovalo všech 13 dílčích složek kontrolního seznamu PCH. Kontrolní seznam byl použit na všech sledovaných sezeních s výjimkou dvou, zatímco na </w:t>
      </w:r>
      <w:r>
        <w:rPr>
          <w:color w:val="000000"/>
        </w:rPr>
        <w:t>oddělení</w:t>
      </w:r>
      <w:r w:rsidRPr="00414F2B">
        <w:rPr>
          <w:color w:val="000000"/>
        </w:rPr>
        <w:t xml:space="preserve"> X vůbec ne. Statisticky vzato byl při použití kontrolního seznamu pozorován vyšší počet </w:t>
      </w:r>
      <w:r>
        <w:rPr>
          <w:color w:val="000000"/>
        </w:rPr>
        <w:t>bodů</w:t>
      </w:r>
      <w:r w:rsidRPr="00414F2B">
        <w:rPr>
          <w:color w:val="000000"/>
        </w:rPr>
        <w:t xml:space="preserve"> zahrnutých do PCH sezení (6,4, SD 1,7 vs. 4,5 </w:t>
      </w:r>
      <w:r>
        <w:rPr>
          <w:color w:val="000000"/>
        </w:rPr>
        <w:t>bodů</w:t>
      </w:r>
      <w:r w:rsidRPr="00414F2B">
        <w:rPr>
          <w:color w:val="000000"/>
        </w:rPr>
        <w:t>, SD 1,3, p &lt;0,05).</w:t>
      </w:r>
      <w:r>
        <w:rPr>
          <w:color w:val="000000"/>
        </w:rPr>
        <w:t xml:space="preserve"> </w:t>
      </w:r>
      <w:r w:rsidRPr="00414F2B">
        <w:rPr>
          <w:color w:val="000000"/>
        </w:rPr>
        <w:t xml:space="preserve">Průměrná doba strávená </w:t>
      </w:r>
      <w:r>
        <w:rPr>
          <w:color w:val="000000"/>
        </w:rPr>
        <w:t>pozorováním</w:t>
      </w:r>
      <w:r w:rsidRPr="00414F2B">
        <w:rPr>
          <w:color w:val="000000"/>
        </w:rPr>
        <w:t xml:space="preserve"> PCH u lůžka byla 6 minut (v rozmezí 2 až 13 minut). Při použití kontrolního seznamu byla průměrná doba 6,7 minuty, SD 2,1 oproti 4,8, SD 1,3, pokud kontrolní seznam nebyl použit (p &lt;0,005)</w:t>
      </w:r>
      <w:r>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14F2B">
        <w:rPr>
          <w:color w:val="000000"/>
        </w:rPr>
        <w:t xml:space="preserve">Provedené součásti každé </w:t>
      </w:r>
      <w:r>
        <w:rPr>
          <w:color w:val="000000"/>
        </w:rPr>
        <w:t>schůze</w:t>
      </w:r>
      <w:r w:rsidRPr="00414F2B">
        <w:rPr>
          <w:color w:val="000000"/>
        </w:rPr>
        <w:t xml:space="preserve"> PCH (A, B, C a E</w:t>
      </w:r>
      <w:r>
        <w:rPr>
          <w:color w:val="000000"/>
        </w:rPr>
        <w:t xml:space="preserve"> s</w:t>
      </w:r>
      <w:r w:rsidR="00756BE5">
        <w:rPr>
          <w:color w:val="000000"/>
        </w:rPr>
        <w:t> </w:t>
      </w:r>
      <w:r>
        <w:rPr>
          <w:color w:val="000000"/>
        </w:rPr>
        <w:t>bod</w:t>
      </w:r>
      <w:r w:rsidR="00756BE5">
        <w:rPr>
          <w:color w:val="000000"/>
        </w:rPr>
        <w:t xml:space="preserve"> </w:t>
      </w:r>
      <w:proofErr w:type="spellStart"/>
      <w:r>
        <w:rPr>
          <w:color w:val="000000"/>
        </w:rPr>
        <w:t>bod</w:t>
      </w:r>
      <w:r w:rsidR="00756BE5">
        <w:rPr>
          <w:color w:val="000000"/>
        </w:rPr>
        <w:t>mi</w:t>
      </w:r>
      <w:proofErr w:type="spellEnd"/>
      <w:r w:rsidRPr="00414F2B">
        <w:rPr>
          <w:color w:val="000000"/>
        </w:rPr>
        <w:t>) jsou uvedeny na obr. 1a (</w:t>
      </w:r>
      <w:r>
        <w:rPr>
          <w:color w:val="000000"/>
        </w:rPr>
        <w:t>o</w:t>
      </w:r>
      <w:r w:rsidRPr="00414F2B">
        <w:rPr>
          <w:color w:val="000000"/>
        </w:rPr>
        <w:t xml:space="preserve">ddělení X) a </w:t>
      </w:r>
      <w:proofErr w:type="gramStart"/>
      <w:r>
        <w:rPr>
          <w:color w:val="000000"/>
        </w:rPr>
        <w:t>1</w:t>
      </w:r>
      <w:r w:rsidRPr="00414F2B">
        <w:rPr>
          <w:color w:val="000000"/>
        </w:rPr>
        <w:t>b</w:t>
      </w:r>
      <w:proofErr w:type="gramEnd"/>
      <w:r w:rsidRPr="00414F2B">
        <w:rPr>
          <w:color w:val="000000"/>
        </w:rPr>
        <w:t xml:space="preserve"> (</w:t>
      </w:r>
      <w:r>
        <w:rPr>
          <w:color w:val="000000"/>
        </w:rPr>
        <w:t>o</w:t>
      </w:r>
      <w:r w:rsidRPr="00414F2B">
        <w:rPr>
          <w:color w:val="000000"/>
        </w:rPr>
        <w:t xml:space="preserve">ddělení Y). Výsledky pro komponentu D a </w:t>
      </w:r>
      <w:r>
        <w:rPr>
          <w:color w:val="000000"/>
        </w:rPr>
        <w:t>bod</w:t>
      </w:r>
      <w:r w:rsidR="00756BE5">
        <w:rPr>
          <w:color w:val="000000"/>
        </w:rPr>
        <w:t xml:space="preserve"> </w:t>
      </w:r>
      <w:r>
        <w:rPr>
          <w:color w:val="000000"/>
        </w:rPr>
        <w:t>bodu</w:t>
      </w:r>
      <w:r w:rsidRPr="00414F2B">
        <w:rPr>
          <w:color w:val="000000"/>
        </w:rPr>
        <w:t xml:space="preserve"> E3 jsou uvedeny v tabulce 2.</w:t>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sidRPr="00756BE5">
        <w:rPr>
          <w:color w:val="000000"/>
        </w:rPr>
        <w:t>Většina pacientů (91 %) nebyl</w:t>
      </w:r>
      <w:r w:rsidR="00756BE5">
        <w:rPr>
          <w:color w:val="000000"/>
        </w:rPr>
        <w:t>i</w:t>
      </w:r>
      <w:r w:rsidR="00756BE5" w:rsidRPr="00756BE5">
        <w:rPr>
          <w:color w:val="000000"/>
        </w:rPr>
        <w:t xml:space="preserve"> informován</w:t>
      </w:r>
      <w:r w:rsidR="00756BE5">
        <w:rPr>
          <w:color w:val="000000"/>
        </w:rPr>
        <w:t>i</w:t>
      </w:r>
      <w:r w:rsidR="00441837">
        <w:rPr>
          <w:color w:val="000000"/>
        </w:rPr>
        <w:t>,</w:t>
      </w:r>
      <w:r w:rsidR="00756BE5">
        <w:rPr>
          <w:color w:val="000000"/>
        </w:rPr>
        <w:t xml:space="preserve"> nebo jim nebylo připomenut </w:t>
      </w:r>
      <w:r w:rsidR="00756BE5" w:rsidRPr="00756BE5">
        <w:rPr>
          <w:color w:val="000000"/>
        </w:rPr>
        <w:t>postup</w:t>
      </w:r>
      <w:r w:rsidR="00756BE5">
        <w:rPr>
          <w:color w:val="000000"/>
        </w:rPr>
        <w:t xml:space="preserve"> </w:t>
      </w:r>
      <w:r w:rsidR="00756BE5" w:rsidRPr="00756BE5">
        <w:rPr>
          <w:color w:val="000000"/>
        </w:rPr>
        <w:t xml:space="preserve">předání před </w:t>
      </w:r>
      <w:r w:rsidR="00756BE5">
        <w:rPr>
          <w:color w:val="000000"/>
        </w:rPr>
        <w:t>pozorováním</w:t>
      </w:r>
      <w:r w:rsidR="00756BE5" w:rsidRPr="00756BE5">
        <w:rPr>
          <w:color w:val="000000"/>
        </w:rPr>
        <w:t xml:space="preserve"> PCH (složka A). Ve většině případů byly úvody (komponenta B1-2) provedeny podle kontrolního seznamu. Počet zúčastněných pracovníků se během předání pohyboval od 3 do 8</w:t>
      </w:r>
      <w:r w:rsidR="00756BE5">
        <w:rPr>
          <w:color w:val="000000"/>
        </w:rPr>
        <w:t xml:space="preserve"> zdravotníků</w:t>
      </w:r>
      <w:r w:rsidR="00756BE5" w:rsidRPr="00756BE5">
        <w:rPr>
          <w:color w:val="000000"/>
        </w:rPr>
        <w:t xml:space="preserve">. Údaje o přítomném personálu a jeho blízkých, době strávené nad PCH B-E, přítomnosti kontrolních seznamů PCH a počtech přerušených PCH na oddělení jsou uvedeny v tabulce 2. Soulad se složkou C (výměna informací) byl různý, vyšší soulad u „plánovaných </w:t>
      </w:r>
      <w:r w:rsidR="00756BE5">
        <w:rPr>
          <w:color w:val="000000"/>
        </w:rPr>
        <w:t>ošetřovatelských</w:t>
      </w:r>
      <w:r w:rsidR="00756BE5" w:rsidRPr="00756BE5">
        <w:rPr>
          <w:color w:val="000000"/>
        </w:rPr>
        <w:t xml:space="preserve"> činností“ (C1) a „</w:t>
      </w:r>
      <w:r w:rsidR="00756BE5">
        <w:rPr>
          <w:color w:val="000000"/>
        </w:rPr>
        <w:t>vyvarování se žargonů</w:t>
      </w:r>
      <w:r w:rsidR="00756BE5" w:rsidRPr="00756BE5">
        <w:rPr>
          <w:color w:val="000000"/>
        </w:rPr>
        <w:t xml:space="preserve">“ (C2), ale </w:t>
      </w:r>
      <w:r w:rsidR="00756BE5">
        <w:rPr>
          <w:color w:val="000000"/>
        </w:rPr>
        <w:t>u shrnutí sestrou</w:t>
      </w:r>
      <w:r w:rsidR="00756BE5" w:rsidRPr="00756BE5">
        <w:rPr>
          <w:color w:val="000000"/>
        </w:rPr>
        <w:t>C3).</w:t>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Pr>
          <w:color w:val="000000"/>
        </w:rPr>
        <w:tab/>
      </w:r>
      <w:r w:rsidR="00756BE5" w:rsidRPr="00756BE5">
        <w:rPr>
          <w:color w:val="000000"/>
        </w:rPr>
        <w:t xml:space="preserve">U šesti </w:t>
      </w:r>
      <w:r w:rsidR="00756BE5">
        <w:rPr>
          <w:color w:val="000000"/>
        </w:rPr>
        <w:t>pod bodech</w:t>
      </w:r>
      <w:r w:rsidR="00756BE5" w:rsidRPr="00756BE5">
        <w:rPr>
          <w:color w:val="000000"/>
        </w:rPr>
        <w:t xml:space="preserve"> E, kontrol</w:t>
      </w:r>
      <w:r w:rsidR="00756BE5">
        <w:rPr>
          <w:color w:val="000000"/>
        </w:rPr>
        <w:t>a</w:t>
      </w:r>
      <w:r w:rsidR="00756BE5" w:rsidRPr="00756BE5">
        <w:rPr>
          <w:color w:val="000000"/>
        </w:rPr>
        <w:t xml:space="preserve"> bezpečnosti, byl</w:t>
      </w:r>
      <w:r w:rsidR="00756BE5">
        <w:rPr>
          <w:color w:val="000000"/>
        </w:rPr>
        <w:t>i</w:t>
      </w:r>
      <w:r w:rsidR="00756BE5" w:rsidRPr="00756BE5">
        <w:rPr>
          <w:color w:val="000000"/>
        </w:rPr>
        <w:t xml:space="preserve"> zjištěny podstatné rozdíly a byly vyšší při použití kontrolního seznamu (2.3 vs. 1.1). Nejvyšší shoda byla zjištěna u úkolů zaměřených na přiřazení (kontrola náramků pro ID, E1 a probíhající infuze, E3). V 9 (21 %) sezeních PCH pacienti podstoupili pokračující infuze. Pět z nich (56 %) nebylo zkontrolováno podle pokynů lékaře (ID, obsah, dávka, rychlost), tabulka 2. Jen </w:t>
      </w:r>
      <w:r w:rsidR="00756BE5">
        <w:rPr>
          <w:color w:val="000000"/>
        </w:rPr>
        <w:t>některé</w:t>
      </w:r>
      <w:r w:rsidR="00756BE5" w:rsidRPr="00756BE5">
        <w:rPr>
          <w:color w:val="000000"/>
        </w:rPr>
        <w:t xml:space="preserve"> z těchto </w:t>
      </w:r>
      <w:r w:rsidR="00756BE5">
        <w:rPr>
          <w:color w:val="000000"/>
        </w:rPr>
        <w:t>pozorování</w:t>
      </w:r>
      <w:r w:rsidR="00756BE5" w:rsidRPr="00756BE5">
        <w:rPr>
          <w:color w:val="000000"/>
        </w:rPr>
        <w:t xml:space="preserve"> zahrnovalo komuni</w:t>
      </w:r>
      <w:r w:rsidR="00756BE5">
        <w:rPr>
          <w:color w:val="000000"/>
        </w:rPr>
        <w:t>kaci</w:t>
      </w:r>
      <w:r w:rsidR="00756BE5" w:rsidRPr="00756BE5">
        <w:rPr>
          <w:color w:val="000000"/>
        </w:rPr>
        <w:t xml:space="preserve">, například kontrolu, zda pacient nebo jeho blízcí mají nějaké otázky/obavy </w:t>
      </w:r>
      <w:r w:rsidR="00441837">
        <w:rPr>
          <w:color w:val="000000"/>
        </w:rPr>
        <w:t>s podáním léků</w:t>
      </w:r>
      <w:r w:rsidR="00756BE5" w:rsidRPr="00756BE5">
        <w:rPr>
          <w:color w:val="000000"/>
        </w:rPr>
        <w:t xml:space="preserve"> (E5), nebo zda si všimli nějakého rozdílu (E6).</w:t>
      </w:r>
      <w:r w:rsidR="007F0B00">
        <w:rPr>
          <w:color w:val="000000"/>
        </w:rPr>
        <w:tab/>
      </w:r>
      <w:r w:rsidR="007F0B00">
        <w:rPr>
          <w:color w:val="000000"/>
        </w:rPr>
        <w:tab/>
      </w:r>
      <w:r w:rsidR="007F0B00">
        <w:rPr>
          <w:color w:val="000000"/>
        </w:rPr>
        <w:tab/>
      </w:r>
      <w:r w:rsidR="007F0B00">
        <w:rPr>
          <w:color w:val="000000"/>
        </w:rPr>
        <w:tab/>
      </w:r>
      <w:r w:rsidR="007F0B00">
        <w:rPr>
          <w:color w:val="000000"/>
        </w:rPr>
        <w:tab/>
      </w:r>
      <w:r w:rsidR="007F0B00" w:rsidRPr="007F0B00">
        <w:rPr>
          <w:color w:val="000000"/>
          <w:u w:val="single"/>
        </w:rPr>
        <w:t>U 25 (58 %) pozorování v rámci PCH byla míra účasti pacientů zařazena do stupně 2, například „pacienti a zdravotníci sdílející odpovědnost“ (tabulka 2). Sezení 2. úrovně (D2) trvala přibližně o minutu déle (průměrně 6,1 minuty, SD 1,4) než sezení 1. úrovně (D1 = 5,1 minuty, SD 3,6) a 3. úrovně (D3 = 4,8 minuty, SD 1,0). Nenašli jsme žádnou spojitost mezi počtem provedených složek PCH a mírou účasti pacientů.</w:t>
      </w:r>
    </w:p>
    <w:p w14:paraId="148885C0" w14:textId="77777777" w:rsidR="00441837" w:rsidRDefault="00441837" w:rsidP="007F0B00">
      <w:pPr>
        <w:pStyle w:val="Normlnweb"/>
        <w:ind w:firstLine="708"/>
        <w:jc w:val="both"/>
        <w:rPr>
          <w:b/>
          <w:bCs/>
          <w:color w:val="000000"/>
        </w:rPr>
      </w:pPr>
    </w:p>
    <w:p w14:paraId="49327A10" w14:textId="77777777" w:rsidR="00441837" w:rsidRDefault="00441837" w:rsidP="007F0B00">
      <w:pPr>
        <w:pStyle w:val="Normlnweb"/>
        <w:ind w:firstLine="708"/>
        <w:jc w:val="both"/>
        <w:rPr>
          <w:b/>
          <w:bCs/>
          <w:color w:val="000000"/>
        </w:rPr>
      </w:pPr>
    </w:p>
    <w:p w14:paraId="4F5867A0" w14:textId="78D6E1A5" w:rsidR="007F0B00" w:rsidRPr="007F0B00" w:rsidRDefault="007F0B00" w:rsidP="007F0B00">
      <w:pPr>
        <w:pStyle w:val="Normlnweb"/>
        <w:ind w:firstLine="708"/>
        <w:jc w:val="both"/>
        <w:rPr>
          <w:b/>
          <w:bCs/>
          <w:color w:val="000000"/>
        </w:rPr>
      </w:pPr>
      <w:r w:rsidRPr="007F0B00">
        <w:rPr>
          <w:b/>
          <w:bCs/>
          <w:color w:val="000000"/>
        </w:rPr>
        <w:lastRenderedPageBreak/>
        <w:t>Disku</w:t>
      </w:r>
      <w:r w:rsidR="00441837">
        <w:rPr>
          <w:b/>
          <w:bCs/>
          <w:color w:val="000000"/>
        </w:rPr>
        <w:t>s</w:t>
      </w:r>
      <w:r w:rsidRPr="007F0B00">
        <w:rPr>
          <w:b/>
          <w:bCs/>
          <w:color w:val="000000"/>
        </w:rPr>
        <w:t>e</w:t>
      </w:r>
    </w:p>
    <w:p w14:paraId="5E9E10BF" w14:textId="1E57CE97" w:rsidR="0097797D" w:rsidRDefault="007F0B00" w:rsidP="00441837">
      <w:pPr>
        <w:ind w:firstLine="708"/>
        <w:rPr>
          <w:rFonts w:ascii="Times New Roman" w:eastAsia="Times New Roman" w:hAnsi="Times New Roman" w:cs="Times New Roman"/>
          <w:color w:val="FF0000"/>
          <w:lang w:eastAsia="cs-CZ"/>
        </w:rPr>
      </w:pPr>
      <w:r w:rsidRPr="007F0B00">
        <w:rPr>
          <w:rFonts w:ascii="Times New Roman" w:hAnsi="Times New Roman" w:cs="Times New Roman"/>
          <w:color w:val="000000"/>
        </w:rPr>
        <w:t>Zjistili jsme</w:t>
      </w:r>
      <w:r w:rsidR="00441837">
        <w:rPr>
          <w:rFonts w:ascii="Times New Roman" w:hAnsi="Times New Roman" w:cs="Times New Roman"/>
          <w:color w:val="000000"/>
        </w:rPr>
        <w:t>,</w:t>
      </w:r>
      <w:r w:rsidRPr="007F0B00">
        <w:rPr>
          <w:rFonts w:ascii="Times New Roman" w:hAnsi="Times New Roman" w:cs="Times New Roman"/>
          <w:color w:val="000000"/>
        </w:rPr>
        <w:t xml:space="preserve"> nedostatečný soulad s kontrolním seznamem pro předání v tomto projektu zvýšení kvality. Celkem 43 ošetřovatelských sezení u lůžka, žádné ze sledovaných sezení PCH nezahrnovalo všechny kontrolní pod body. Důležitým zjištěním bylo, že kontrolní seznam pro předání byl použit pouze u 18 (44 %) sledovaných PCH, což je překvapivé vzhledem k tomu, že pozorování byla provedena relativně brzy po zavedení nového modelu předání služby. Zjistili jsme také, že pokud byl použit kontrolní seznam</w:t>
      </w:r>
      <w:r w:rsidR="00441837">
        <w:rPr>
          <w:rFonts w:ascii="Times New Roman" w:hAnsi="Times New Roman" w:cs="Times New Roman"/>
          <w:color w:val="000000"/>
        </w:rPr>
        <w:t>,</w:t>
      </w:r>
      <w:r w:rsidRPr="007F0B00">
        <w:rPr>
          <w:rFonts w:ascii="Times New Roman" w:hAnsi="Times New Roman" w:cs="Times New Roman"/>
          <w:color w:val="000000"/>
        </w:rPr>
        <w:t xml:space="preserve"> bylo zahrnuto více dílčích bodů, ale nedosáhli ani na polovinu z celkového množství, což ponech</w:t>
      </w:r>
      <w:r w:rsidR="00441837">
        <w:rPr>
          <w:rFonts w:ascii="Times New Roman" w:hAnsi="Times New Roman" w:cs="Times New Roman"/>
          <w:color w:val="000000"/>
        </w:rPr>
        <w:t>a</w:t>
      </w:r>
      <w:r w:rsidRPr="007F0B00">
        <w:rPr>
          <w:rFonts w:ascii="Times New Roman" w:hAnsi="Times New Roman" w:cs="Times New Roman"/>
          <w:color w:val="000000"/>
        </w:rPr>
        <w:t xml:space="preserve">lo prostor pro zásadní zlepšení. </w:t>
      </w:r>
      <w:proofErr w:type="spellStart"/>
      <w:r w:rsidRPr="007F0B00">
        <w:rPr>
          <w:rFonts w:ascii="Times New Roman" w:eastAsia="Times New Roman" w:hAnsi="Times New Roman" w:cs="Times New Roman"/>
          <w:color w:val="000000"/>
          <w:lang w:eastAsia="cs-CZ"/>
        </w:rPr>
        <w:t>Philpin</w:t>
      </w:r>
      <w:proofErr w:type="spellEnd"/>
      <w:r w:rsidRPr="007F0B00">
        <w:rPr>
          <w:rFonts w:ascii="Times New Roman" w:eastAsia="Times New Roman" w:hAnsi="Times New Roman" w:cs="Times New Roman"/>
          <w:color w:val="000000"/>
          <w:lang w:eastAsia="cs-CZ"/>
        </w:rPr>
        <w:t xml:space="preserve"> (31) upozorňuje na důležitost používání podpůrného nástroje při předávání pacient</w:t>
      </w:r>
      <w:r>
        <w:rPr>
          <w:rFonts w:ascii="Times New Roman" w:eastAsia="Times New Roman" w:hAnsi="Times New Roman" w:cs="Times New Roman"/>
          <w:color w:val="000000"/>
          <w:lang w:eastAsia="cs-CZ"/>
        </w:rPr>
        <w:t>a</w:t>
      </w:r>
      <w:r w:rsidRPr="007F0B00">
        <w:rPr>
          <w:rFonts w:ascii="Times New Roman" w:eastAsia="Times New Roman" w:hAnsi="Times New Roman" w:cs="Times New Roman"/>
          <w:color w:val="000000"/>
          <w:lang w:eastAsia="cs-CZ"/>
        </w:rPr>
        <w:t xml:space="preserve">. Ve své kvalitativní studii zjistila, že sestry na </w:t>
      </w:r>
      <w:r>
        <w:rPr>
          <w:rFonts w:ascii="Times New Roman" w:eastAsia="Times New Roman" w:hAnsi="Times New Roman" w:cs="Times New Roman"/>
          <w:color w:val="000000"/>
          <w:lang w:eastAsia="cs-CZ"/>
        </w:rPr>
        <w:t xml:space="preserve">JIP </w:t>
      </w:r>
      <w:r w:rsidRPr="007F0B00">
        <w:rPr>
          <w:rFonts w:ascii="Times New Roman" w:eastAsia="Times New Roman" w:hAnsi="Times New Roman" w:cs="Times New Roman"/>
          <w:color w:val="000000"/>
          <w:lang w:eastAsia="cs-CZ"/>
        </w:rPr>
        <w:t xml:space="preserve">považují tabulku pozorování za užitečnou pro </w:t>
      </w:r>
      <w:r w:rsidRPr="007F0B00">
        <w:rPr>
          <w:rFonts w:ascii="Times New Roman" w:eastAsia="Times New Roman" w:hAnsi="Times New Roman" w:cs="Times New Roman"/>
          <w:color w:val="000000"/>
          <w:u w:val="single"/>
          <w:lang w:eastAsia="cs-CZ"/>
        </w:rPr>
        <w:t>složitou výměnu informací</w:t>
      </w:r>
      <w:r w:rsidRPr="007F0B00">
        <w:rPr>
          <w:rFonts w:ascii="Times New Roman" w:eastAsia="Times New Roman" w:hAnsi="Times New Roman" w:cs="Times New Roman"/>
          <w:color w:val="000000"/>
          <w:lang w:eastAsia="cs-CZ"/>
        </w:rPr>
        <w:t xml:space="preserve"> při předání pacient</w:t>
      </w:r>
      <w:r>
        <w:rPr>
          <w:rFonts w:ascii="Times New Roman" w:eastAsia="Times New Roman" w:hAnsi="Times New Roman" w:cs="Times New Roman"/>
          <w:color w:val="000000"/>
          <w:lang w:eastAsia="cs-CZ"/>
        </w:rPr>
        <w:t>a</w:t>
      </w:r>
      <w:r w:rsidRPr="007F0B00">
        <w:rPr>
          <w:rFonts w:ascii="Times New Roman" w:eastAsia="Times New Roman" w:hAnsi="Times New Roman" w:cs="Times New Roman"/>
          <w:color w:val="000000"/>
          <w:lang w:eastAsia="cs-CZ"/>
        </w:rPr>
        <w:t xml:space="preserve"> a popisují ji jako důležitý nástroj při organizaci a </w:t>
      </w:r>
      <w:r>
        <w:rPr>
          <w:rFonts w:ascii="Times New Roman" w:eastAsia="Times New Roman" w:hAnsi="Times New Roman" w:cs="Times New Roman"/>
          <w:color w:val="000000"/>
          <w:lang w:eastAsia="cs-CZ"/>
        </w:rPr>
        <w:t xml:space="preserve">struktuře </w:t>
      </w:r>
      <w:r w:rsidRPr="007F0B00">
        <w:rPr>
          <w:rFonts w:ascii="Times New Roman" w:eastAsia="Times New Roman" w:hAnsi="Times New Roman" w:cs="Times New Roman"/>
          <w:color w:val="000000"/>
          <w:lang w:eastAsia="cs-CZ"/>
        </w:rPr>
        <w:t xml:space="preserve">předání. </w:t>
      </w:r>
      <w:proofErr w:type="spellStart"/>
      <w:r w:rsidRPr="007F0B00">
        <w:rPr>
          <w:rFonts w:ascii="Times New Roman" w:eastAsia="Times New Roman" w:hAnsi="Times New Roman" w:cs="Times New Roman"/>
          <w:color w:val="000000"/>
          <w:lang w:eastAsia="cs-CZ"/>
        </w:rPr>
        <w:t>Tobiano</w:t>
      </w:r>
      <w:proofErr w:type="spellEnd"/>
      <w:r w:rsidRPr="007F0B00">
        <w:rPr>
          <w:rFonts w:ascii="Times New Roman" w:eastAsia="Times New Roman" w:hAnsi="Times New Roman" w:cs="Times New Roman"/>
          <w:color w:val="000000"/>
          <w:lang w:eastAsia="cs-CZ"/>
        </w:rPr>
        <w:t xml:space="preserve"> a kol. (32) ve své kvalitativní studii dospěli k závěru, že standardizovanější postup by sestrám pomohl překonat bariéry, které vnímaly při předávání pacient</w:t>
      </w:r>
      <w:r w:rsidR="0097797D">
        <w:rPr>
          <w:rFonts w:ascii="Times New Roman" w:eastAsia="Times New Roman" w:hAnsi="Times New Roman" w:cs="Times New Roman"/>
          <w:color w:val="000000"/>
          <w:lang w:eastAsia="cs-CZ"/>
        </w:rPr>
        <w:t>ů</w:t>
      </w:r>
      <w:r w:rsidRPr="007F0B00">
        <w:rPr>
          <w:rFonts w:ascii="Times New Roman" w:eastAsia="Times New Roman" w:hAnsi="Times New Roman" w:cs="Times New Roman"/>
          <w:color w:val="000000"/>
          <w:lang w:eastAsia="cs-CZ"/>
        </w:rPr>
        <w:t>. K této struktuře by mohl přispět kontrolní seznam pro předání pacient</w:t>
      </w:r>
      <w:r w:rsidR="0097797D">
        <w:rPr>
          <w:rFonts w:ascii="Times New Roman" w:eastAsia="Times New Roman" w:hAnsi="Times New Roman" w:cs="Times New Roman"/>
          <w:color w:val="000000"/>
          <w:lang w:eastAsia="cs-CZ"/>
        </w:rPr>
        <w:t>a</w:t>
      </w:r>
      <w:r w:rsidRPr="007F0B00">
        <w:rPr>
          <w:rFonts w:ascii="Times New Roman" w:eastAsia="Times New Roman" w:hAnsi="Times New Roman" w:cs="Times New Roman"/>
          <w:color w:val="000000"/>
          <w:lang w:eastAsia="cs-CZ"/>
        </w:rPr>
        <w:t xml:space="preserve">. </w:t>
      </w:r>
      <w:proofErr w:type="spellStart"/>
      <w:r w:rsidRPr="0097797D">
        <w:rPr>
          <w:rFonts w:ascii="Times New Roman" w:eastAsia="Times New Roman" w:hAnsi="Times New Roman" w:cs="Times New Roman"/>
          <w:color w:val="000000"/>
          <w:u w:val="single"/>
          <w:lang w:eastAsia="cs-CZ"/>
        </w:rPr>
        <w:t>Sexton</w:t>
      </w:r>
      <w:proofErr w:type="spellEnd"/>
      <w:r w:rsidRPr="0097797D">
        <w:rPr>
          <w:rFonts w:ascii="Times New Roman" w:eastAsia="Times New Roman" w:hAnsi="Times New Roman" w:cs="Times New Roman"/>
          <w:color w:val="000000"/>
          <w:u w:val="single"/>
          <w:lang w:eastAsia="cs-CZ"/>
        </w:rPr>
        <w:t xml:space="preserve"> a kol. (6) naznačují, že stupeň struktury při předávání </w:t>
      </w:r>
      <w:r w:rsidR="0097797D" w:rsidRPr="0097797D">
        <w:rPr>
          <w:rFonts w:ascii="Times New Roman" w:eastAsia="Times New Roman" w:hAnsi="Times New Roman" w:cs="Times New Roman"/>
          <w:color w:val="000000"/>
          <w:u w:val="single"/>
          <w:lang w:eastAsia="cs-CZ"/>
        </w:rPr>
        <w:t>pacientů</w:t>
      </w:r>
      <w:r w:rsidRPr="0097797D">
        <w:rPr>
          <w:rFonts w:ascii="Times New Roman" w:eastAsia="Times New Roman" w:hAnsi="Times New Roman" w:cs="Times New Roman"/>
          <w:color w:val="000000"/>
          <w:u w:val="single"/>
          <w:lang w:eastAsia="cs-CZ"/>
        </w:rPr>
        <w:t xml:space="preserve"> by mohl mít kromě spokojenosti s prací dopad i na kvalitu péče.</w:t>
      </w:r>
      <w:r w:rsidR="0097797D">
        <w:rPr>
          <w:rFonts w:ascii="Times New Roman" w:eastAsia="Times New Roman" w:hAnsi="Times New Roman" w:cs="Times New Roman"/>
          <w:color w:val="000000"/>
          <w:u w:val="single"/>
          <w:lang w:eastAsia="cs-CZ"/>
        </w:rPr>
        <w:t xml:space="preserve"> </w:t>
      </w:r>
      <w:r w:rsidR="0097797D" w:rsidRPr="0097797D">
        <w:rPr>
          <w:rFonts w:ascii="Times New Roman" w:eastAsia="Times New Roman" w:hAnsi="Times New Roman" w:cs="Times New Roman"/>
          <w:color w:val="FF0000"/>
          <w:lang w:eastAsia="cs-CZ"/>
        </w:rPr>
        <w:t>Bylo také uvedeno, že pacienti považovali použ</w:t>
      </w:r>
      <w:r w:rsidR="0097797D">
        <w:rPr>
          <w:rFonts w:ascii="Times New Roman" w:eastAsia="Times New Roman" w:hAnsi="Times New Roman" w:cs="Times New Roman"/>
          <w:color w:val="FF0000"/>
          <w:lang w:eastAsia="cs-CZ"/>
        </w:rPr>
        <w:t>ití</w:t>
      </w:r>
      <w:r w:rsidR="0097797D" w:rsidRPr="0097797D">
        <w:rPr>
          <w:rFonts w:ascii="Times New Roman" w:eastAsia="Times New Roman" w:hAnsi="Times New Roman" w:cs="Times New Roman"/>
          <w:color w:val="FF0000"/>
          <w:lang w:eastAsia="cs-CZ"/>
        </w:rPr>
        <w:t xml:space="preserve"> dokumentů sestrami při předání za uklidňující (13). Neužití kontrolního seznamu PCH může zvýšit riziko, že se ze sesterny na lůžko přenese pouze tradiční verze předání, a nikoli předání zaměřené na osobu.</w:t>
      </w:r>
    </w:p>
    <w:p w14:paraId="36168965" w14:textId="2A4D559D" w:rsidR="002177BB" w:rsidRDefault="0097797D" w:rsidP="00871369">
      <w:pPr>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FF0000"/>
          <w:lang w:eastAsia="cs-CZ"/>
        </w:rPr>
        <w:tab/>
      </w:r>
      <w:r w:rsidRPr="0097797D">
        <w:rPr>
          <w:rFonts w:ascii="Times New Roman" w:eastAsia="Times New Roman" w:hAnsi="Times New Roman" w:cs="Times New Roman"/>
          <w:color w:val="000000" w:themeColor="text1"/>
          <w:lang w:eastAsia="cs-CZ"/>
        </w:rPr>
        <w:t xml:space="preserve">Pouze 9 % pacientů bylo předem informováno, že se bude konat PCH </w:t>
      </w:r>
      <w:r>
        <w:rPr>
          <w:rFonts w:ascii="Times New Roman" w:eastAsia="Times New Roman" w:hAnsi="Times New Roman" w:cs="Times New Roman"/>
          <w:color w:val="000000" w:themeColor="text1"/>
          <w:lang w:eastAsia="cs-CZ"/>
        </w:rPr>
        <w:t>předání</w:t>
      </w:r>
      <w:r w:rsidRPr="0097797D">
        <w:rPr>
          <w:rFonts w:ascii="Times New Roman" w:eastAsia="Times New Roman" w:hAnsi="Times New Roman" w:cs="Times New Roman"/>
          <w:color w:val="000000" w:themeColor="text1"/>
          <w:lang w:eastAsia="cs-CZ"/>
        </w:rPr>
        <w:t xml:space="preserve"> (složka A), a mělo tedy možnost vědět, co se od nich očekává. Lze důvodně předpokládat, že to mělo negativní důsledky na aktivní účast</w:t>
      </w:r>
      <w:r w:rsidR="00441837">
        <w:rPr>
          <w:rFonts w:ascii="Times New Roman" w:eastAsia="Times New Roman" w:hAnsi="Times New Roman" w:cs="Times New Roman"/>
          <w:color w:val="000000" w:themeColor="text1"/>
          <w:lang w:eastAsia="cs-CZ"/>
        </w:rPr>
        <w:t>i</w:t>
      </w:r>
      <w:r w:rsidRPr="0097797D">
        <w:rPr>
          <w:rFonts w:ascii="Times New Roman" w:eastAsia="Times New Roman" w:hAnsi="Times New Roman" w:cs="Times New Roman"/>
          <w:color w:val="000000" w:themeColor="text1"/>
          <w:lang w:eastAsia="cs-CZ"/>
        </w:rPr>
        <w:t xml:space="preserve"> pacientů. Další studie o klinickém předání zdůrazňují význam toho, aby pacienti a jejich současní blízcí jasně chápali účel</w:t>
      </w:r>
      <w:r w:rsidR="00441837">
        <w:rPr>
          <w:rFonts w:ascii="Times New Roman" w:eastAsia="Times New Roman" w:hAnsi="Times New Roman" w:cs="Times New Roman"/>
          <w:color w:val="000000" w:themeColor="text1"/>
          <w:lang w:eastAsia="cs-CZ"/>
        </w:rPr>
        <w:t>,</w:t>
      </w:r>
      <w:r w:rsidRPr="0097797D">
        <w:rPr>
          <w:rFonts w:ascii="Times New Roman" w:eastAsia="Times New Roman" w:hAnsi="Times New Roman" w:cs="Times New Roman"/>
          <w:color w:val="000000" w:themeColor="text1"/>
          <w:lang w:eastAsia="cs-CZ"/>
        </w:rPr>
        <w:t xml:space="preserve"> aby se očekávala aktivní účast (8, 19, 32). </w:t>
      </w:r>
      <w:proofErr w:type="spellStart"/>
      <w:r w:rsidRPr="0097797D">
        <w:rPr>
          <w:rFonts w:ascii="Times New Roman" w:eastAsia="Times New Roman" w:hAnsi="Times New Roman" w:cs="Times New Roman"/>
          <w:color w:val="000000" w:themeColor="text1"/>
          <w:u w:val="single"/>
          <w:lang w:eastAsia="cs-CZ"/>
        </w:rPr>
        <w:t>Cahill</w:t>
      </w:r>
      <w:proofErr w:type="spellEnd"/>
      <w:r w:rsidRPr="0097797D">
        <w:rPr>
          <w:rFonts w:ascii="Times New Roman" w:eastAsia="Times New Roman" w:hAnsi="Times New Roman" w:cs="Times New Roman"/>
          <w:color w:val="000000" w:themeColor="text1"/>
          <w:u w:val="single"/>
          <w:lang w:eastAsia="cs-CZ"/>
        </w:rPr>
        <w:t xml:space="preserve"> (13) studoval vnímání pacientek při předání a uvedl, že si přály lépe </w:t>
      </w:r>
      <w:r w:rsidRPr="00871369">
        <w:rPr>
          <w:rFonts w:ascii="Times New Roman" w:eastAsia="Times New Roman" w:hAnsi="Times New Roman" w:cs="Times New Roman"/>
          <w:color w:val="000000" w:themeColor="text1"/>
          <w:u w:val="single"/>
          <w:lang w:eastAsia="cs-CZ"/>
        </w:rPr>
        <w:t xml:space="preserve">porozumět roli, kterou měly zastávat. To podpořili i </w:t>
      </w:r>
      <w:proofErr w:type="spellStart"/>
      <w:r w:rsidRPr="00871369">
        <w:rPr>
          <w:rFonts w:ascii="Times New Roman" w:eastAsia="Times New Roman" w:hAnsi="Times New Roman" w:cs="Times New Roman"/>
          <w:color w:val="000000" w:themeColor="text1"/>
          <w:u w:val="single"/>
          <w:lang w:eastAsia="cs-CZ"/>
        </w:rPr>
        <w:t>Timonen</w:t>
      </w:r>
      <w:proofErr w:type="spellEnd"/>
      <w:r w:rsidRPr="00871369">
        <w:rPr>
          <w:rFonts w:ascii="Times New Roman" w:eastAsia="Times New Roman" w:hAnsi="Times New Roman" w:cs="Times New Roman"/>
          <w:color w:val="000000" w:themeColor="text1"/>
          <w:u w:val="single"/>
          <w:lang w:eastAsia="cs-CZ"/>
        </w:rPr>
        <w:t xml:space="preserve"> a </w:t>
      </w:r>
      <w:proofErr w:type="spellStart"/>
      <w:r w:rsidRPr="00871369">
        <w:rPr>
          <w:rFonts w:ascii="Times New Roman" w:eastAsia="Times New Roman" w:hAnsi="Times New Roman" w:cs="Times New Roman"/>
          <w:color w:val="000000" w:themeColor="text1"/>
          <w:u w:val="single"/>
          <w:lang w:eastAsia="cs-CZ"/>
        </w:rPr>
        <w:t>Sihvonen</w:t>
      </w:r>
      <w:proofErr w:type="spellEnd"/>
      <w:r w:rsidRPr="00871369">
        <w:rPr>
          <w:rFonts w:ascii="Times New Roman" w:eastAsia="Times New Roman" w:hAnsi="Times New Roman" w:cs="Times New Roman"/>
          <w:color w:val="000000" w:themeColor="text1"/>
          <w:u w:val="single"/>
          <w:lang w:eastAsia="cs-CZ"/>
        </w:rPr>
        <w:t xml:space="preserve"> (33), kteří zjistili, že třetina pacientů se domnívala, že účel předání pacientů je určen pro komunikaci mezi sestrami a</w:t>
      </w:r>
      <w:r w:rsidR="00441837">
        <w:rPr>
          <w:rFonts w:ascii="Times New Roman" w:eastAsia="Times New Roman" w:hAnsi="Times New Roman" w:cs="Times New Roman"/>
          <w:color w:val="000000" w:themeColor="text1"/>
          <w:u w:val="single"/>
          <w:lang w:eastAsia="cs-CZ"/>
        </w:rPr>
        <w:t xml:space="preserve"> pacientem, přitom</w:t>
      </w:r>
      <w:r w:rsidRPr="00871369">
        <w:rPr>
          <w:rFonts w:ascii="Times New Roman" w:eastAsia="Times New Roman" w:hAnsi="Times New Roman" w:cs="Times New Roman"/>
          <w:color w:val="000000" w:themeColor="text1"/>
          <w:u w:val="single"/>
          <w:lang w:eastAsia="cs-CZ"/>
        </w:rPr>
        <w:t xml:space="preserve"> necítil</w:t>
      </w:r>
      <w:r w:rsidR="00871369" w:rsidRPr="00871369">
        <w:rPr>
          <w:rFonts w:ascii="Times New Roman" w:eastAsia="Times New Roman" w:hAnsi="Times New Roman" w:cs="Times New Roman"/>
          <w:color w:val="000000" w:themeColor="text1"/>
          <w:u w:val="single"/>
          <w:lang w:eastAsia="cs-CZ"/>
        </w:rPr>
        <w:t>i</w:t>
      </w:r>
      <w:r w:rsidRPr="00871369">
        <w:rPr>
          <w:rFonts w:ascii="Times New Roman" w:eastAsia="Times New Roman" w:hAnsi="Times New Roman" w:cs="Times New Roman"/>
          <w:color w:val="000000" w:themeColor="text1"/>
          <w:u w:val="single"/>
          <w:lang w:eastAsia="cs-CZ"/>
        </w:rPr>
        <w:t xml:space="preserve"> se být aktivně zapojen</w:t>
      </w:r>
      <w:r w:rsidR="00871369" w:rsidRPr="00871369">
        <w:rPr>
          <w:rFonts w:ascii="Times New Roman" w:eastAsia="Times New Roman" w:hAnsi="Times New Roman" w:cs="Times New Roman"/>
          <w:color w:val="000000" w:themeColor="text1"/>
          <w:u w:val="single"/>
          <w:lang w:eastAsia="cs-CZ"/>
        </w:rPr>
        <w:t>i.</w:t>
      </w:r>
      <w:r w:rsidR="00871369" w:rsidRPr="00871369">
        <w:rPr>
          <w:rFonts w:ascii="Times New Roman" w:eastAsia="Times New Roman" w:hAnsi="Times New Roman" w:cs="Times New Roman"/>
          <w:color w:val="000000" w:themeColor="text1"/>
          <w:lang w:eastAsia="cs-CZ"/>
        </w:rPr>
        <w:tab/>
      </w:r>
    </w:p>
    <w:p w14:paraId="3C9D80BF" w14:textId="36A66868" w:rsidR="002177BB" w:rsidRDefault="002177BB" w:rsidP="00871369">
      <w:pPr>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ab/>
      </w:r>
      <w:r w:rsidRPr="002177BB">
        <w:rPr>
          <w:rFonts w:ascii="Times New Roman" w:eastAsia="Times New Roman" w:hAnsi="Times New Roman" w:cs="Times New Roman"/>
          <w:color w:val="000000" w:themeColor="text1"/>
          <w:lang w:eastAsia="cs-CZ"/>
        </w:rPr>
        <w:t>Druh</w:t>
      </w:r>
      <w:r>
        <w:rPr>
          <w:rFonts w:ascii="Times New Roman" w:eastAsia="Times New Roman" w:hAnsi="Times New Roman" w:cs="Times New Roman"/>
          <w:color w:val="000000" w:themeColor="text1"/>
          <w:lang w:eastAsia="cs-CZ"/>
        </w:rPr>
        <w:t>ým bodem</w:t>
      </w:r>
      <w:r w:rsidRPr="002177BB">
        <w:rPr>
          <w:rFonts w:ascii="Times New Roman" w:eastAsia="Times New Roman" w:hAnsi="Times New Roman" w:cs="Times New Roman"/>
          <w:color w:val="000000" w:themeColor="text1"/>
          <w:lang w:eastAsia="cs-CZ"/>
        </w:rPr>
        <w:t xml:space="preserve"> zasedání PCH byl „Úvod“ (B1-2). Zatímco většina </w:t>
      </w:r>
      <w:r>
        <w:rPr>
          <w:rFonts w:ascii="Times New Roman" w:eastAsia="Times New Roman" w:hAnsi="Times New Roman" w:cs="Times New Roman"/>
          <w:color w:val="000000" w:themeColor="text1"/>
          <w:lang w:eastAsia="cs-CZ"/>
        </w:rPr>
        <w:t>sledování</w:t>
      </w:r>
      <w:r w:rsidRPr="002177BB">
        <w:rPr>
          <w:rFonts w:ascii="Times New Roman" w:eastAsia="Times New Roman" w:hAnsi="Times New Roman" w:cs="Times New Roman"/>
          <w:color w:val="000000" w:themeColor="text1"/>
          <w:lang w:eastAsia="cs-CZ"/>
        </w:rPr>
        <w:t xml:space="preserve"> (93</w:t>
      </w:r>
      <w:r w:rsidR="00441837">
        <w:rPr>
          <w:rFonts w:ascii="Times New Roman" w:eastAsia="Times New Roman" w:hAnsi="Times New Roman" w:cs="Times New Roman"/>
          <w:color w:val="000000" w:themeColor="text1"/>
          <w:lang w:eastAsia="cs-CZ"/>
        </w:rPr>
        <w:t xml:space="preserve"> </w:t>
      </w:r>
      <w:r w:rsidRPr="002177BB">
        <w:rPr>
          <w:rFonts w:ascii="Times New Roman" w:eastAsia="Times New Roman" w:hAnsi="Times New Roman" w:cs="Times New Roman"/>
          <w:color w:val="000000" w:themeColor="text1"/>
          <w:lang w:eastAsia="cs-CZ"/>
        </w:rPr>
        <w:t xml:space="preserve">%) zahrnovala </w:t>
      </w:r>
      <w:r>
        <w:rPr>
          <w:rFonts w:ascii="Times New Roman" w:eastAsia="Times New Roman" w:hAnsi="Times New Roman" w:cs="Times New Roman"/>
          <w:color w:val="000000" w:themeColor="text1"/>
          <w:lang w:eastAsia="cs-CZ"/>
        </w:rPr>
        <w:t>pod bod</w:t>
      </w:r>
      <w:r w:rsidRPr="002177BB">
        <w:rPr>
          <w:rFonts w:ascii="Times New Roman" w:eastAsia="Times New Roman" w:hAnsi="Times New Roman" w:cs="Times New Roman"/>
          <w:color w:val="000000" w:themeColor="text1"/>
          <w:lang w:eastAsia="cs-CZ"/>
        </w:rPr>
        <w:t xml:space="preserve"> B2 (</w:t>
      </w:r>
      <w:r w:rsidR="00B952E5">
        <w:rPr>
          <w:rFonts w:ascii="Times New Roman" w:eastAsia="Times New Roman" w:hAnsi="Times New Roman" w:cs="Times New Roman"/>
          <w:color w:val="000000" w:themeColor="text1"/>
          <w:lang w:eastAsia="cs-CZ"/>
        </w:rPr>
        <w:t>p</w:t>
      </w:r>
      <w:r w:rsidRPr="002177BB">
        <w:rPr>
          <w:rFonts w:ascii="Times New Roman" w:eastAsia="Times New Roman" w:hAnsi="Times New Roman" w:cs="Times New Roman"/>
          <w:color w:val="000000" w:themeColor="text1"/>
          <w:lang w:eastAsia="cs-CZ"/>
        </w:rPr>
        <w:t xml:space="preserve">acient </w:t>
      </w:r>
      <w:r w:rsidR="00B952E5">
        <w:rPr>
          <w:rFonts w:ascii="Times New Roman" w:eastAsia="Times New Roman" w:hAnsi="Times New Roman" w:cs="Times New Roman"/>
          <w:color w:val="000000" w:themeColor="text1"/>
          <w:lang w:eastAsia="cs-CZ"/>
        </w:rPr>
        <w:t>měl možnost říci vše co souviselo s hospitalizací</w:t>
      </w:r>
      <w:r w:rsidRPr="002177BB">
        <w:rPr>
          <w:rFonts w:ascii="Times New Roman" w:eastAsia="Times New Roman" w:hAnsi="Times New Roman" w:cs="Times New Roman"/>
          <w:color w:val="000000" w:themeColor="text1"/>
          <w:lang w:eastAsia="cs-CZ"/>
        </w:rPr>
        <w:t>), mnohem méně s</w:t>
      </w:r>
      <w:r w:rsidR="00B952E5">
        <w:rPr>
          <w:rFonts w:ascii="Times New Roman" w:eastAsia="Times New Roman" w:hAnsi="Times New Roman" w:cs="Times New Roman"/>
          <w:color w:val="000000" w:themeColor="text1"/>
          <w:lang w:eastAsia="cs-CZ"/>
        </w:rPr>
        <w:t>ledování</w:t>
      </w:r>
      <w:r w:rsidRPr="002177BB">
        <w:rPr>
          <w:rFonts w:ascii="Times New Roman" w:eastAsia="Times New Roman" w:hAnsi="Times New Roman" w:cs="Times New Roman"/>
          <w:color w:val="000000" w:themeColor="text1"/>
          <w:lang w:eastAsia="cs-CZ"/>
        </w:rPr>
        <w:t xml:space="preserve"> (</w:t>
      </w:r>
      <w:proofErr w:type="gramStart"/>
      <w:r w:rsidRPr="002177BB">
        <w:rPr>
          <w:rFonts w:ascii="Times New Roman" w:eastAsia="Times New Roman" w:hAnsi="Times New Roman" w:cs="Times New Roman"/>
          <w:color w:val="000000" w:themeColor="text1"/>
          <w:lang w:eastAsia="cs-CZ"/>
        </w:rPr>
        <w:t>77%</w:t>
      </w:r>
      <w:proofErr w:type="gramEnd"/>
      <w:r w:rsidRPr="002177BB">
        <w:rPr>
          <w:rFonts w:ascii="Times New Roman" w:eastAsia="Times New Roman" w:hAnsi="Times New Roman" w:cs="Times New Roman"/>
          <w:color w:val="000000" w:themeColor="text1"/>
          <w:lang w:eastAsia="cs-CZ"/>
        </w:rPr>
        <w:t>) zahrnovalo B1 (personál</w:t>
      </w:r>
      <w:r w:rsidR="00B952E5">
        <w:rPr>
          <w:rFonts w:ascii="Times New Roman" w:eastAsia="Times New Roman" w:hAnsi="Times New Roman" w:cs="Times New Roman"/>
          <w:color w:val="000000" w:themeColor="text1"/>
          <w:lang w:eastAsia="cs-CZ"/>
        </w:rPr>
        <w:t xml:space="preserve"> se při předání představí pacientovi i jeho rodině). </w:t>
      </w:r>
      <w:r w:rsidRPr="002177BB">
        <w:rPr>
          <w:rFonts w:ascii="Times New Roman" w:eastAsia="Times New Roman" w:hAnsi="Times New Roman" w:cs="Times New Roman"/>
          <w:color w:val="000000" w:themeColor="text1"/>
          <w:lang w:eastAsia="cs-CZ"/>
        </w:rPr>
        <w:t>Podíl pozorovaných PCH, při nichž nebyla zahrnuta B1 (23 %), byl překvapivě vysoký vzhledem k tomu, že se jedná o úkol, který se provádí rychle a snadno a měl by být jasným začátkem efektivního a uctivého procesu předání. Zatímco všechny sledované PCH relace zahrnovaly C2 (</w:t>
      </w:r>
      <w:r w:rsidR="00B952E5">
        <w:rPr>
          <w:rFonts w:ascii="Times New Roman" w:eastAsia="Times New Roman" w:hAnsi="Times New Roman" w:cs="Times New Roman"/>
          <w:color w:val="000000" w:themeColor="text1"/>
          <w:lang w:eastAsia="cs-CZ"/>
        </w:rPr>
        <w:t>vyhneme se nemocničním termínům</w:t>
      </w:r>
      <w:r w:rsidRPr="002177BB">
        <w:rPr>
          <w:rFonts w:ascii="Times New Roman" w:eastAsia="Times New Roman" w:hAnsi="Times New Roman" w:cs="Times New Roman"/>
          <w:color w:val="000000" w:themeColor="text1"/>
          <w:lang w:eastAsia="cs-CZ"/>
        </w:rPr>
        <w:t>), 86</w:t>
      </w:r>
      <w:r w:rsidR="00441837">
        <w:rPr>
          <w:rFonts w:ascii="Times New Roman" w:eastAsia="Times New Roman" w:hAnsi="Times New Roman" w:cs="Times New Roman"/>
          <w:color w:val="000000" w:themeColor="text1"/>
          <w:lang w:eastAsia="cs-CZ"/>
        </w:rPr>
        <w:t xml:space="preserve"> </w:t>
      </w:r>
      <w:r w:rsidRPr="002177BB">
        <w:rPr>
          <w:rFonts w:ascii="Times New Roman" w:eastAsia="Times New Roman" w:hAnsi="Times New Roman" w:cs="Times New Roman"/>
          <w:color w:val="000000" w:themeColor="text1"/>
          <w:lang w:eastAsia="cs-CZ"/>
        </w:rPr>
        <w:t xml:space="preserve">% zahrnovalo </w:t>
      </w:r>
      <w:r w:rsidR="00B952E5">
        <w:rPr>
          <w:rFonts w:ascii="Times New Roman" w:eastAsia="Times New Roman" w:hAnsi="Times New Roman" w:cs="Times New Roman"/>
          <w:color w:val="000000" w:themeColor="text1"/>
          <w:lang w:eastAsia="cs-CZ"/>
        </w:rPr>
        <w:t>pod bod</w:t>
      </w:r>
      <w:r w:rsidRPr="002177BB">
        <w:rPr>
          <w:rFonts w:ascii="Times New Roman" w:eastAsia="Times New Roman" w:hAnsi="Times New Roman" w:cs="Times New Roman"/>
          <w:color w:val="000000" w:themeColor="text1"/>
          <w:lang w:eastAsia="cs-CZ"/>
        </w:rPr>
        <w:t xml:space="preserve"> C1 (plánovan</w:t>
      </w:r>
      <w:r w:rsidR="00B952E5">
        <w:rPr>
          <w:rFonts w:ascii="Times New Roman" w:eastAsia="Times New Roman" w:hAnsi="Times New Roman" w:cs="Times New Roman"/>
          <w:color w:val="000000" w:themeColor="text1"/>
          <w:lang w:eastAsia="cs-CZ"/>
        </w:rPr>
        <w:t>í péče</w:t>
      </w:r>
      <w:r w:rsidRPr="002177BB">
        <w:rPr>
          <w:rFonts w:ascii="Times New Roman" w:eastAsia="Times New Roman" w:hAnsi="Times New Roman" w:cs="Times New Roman"/>
          <w:color w:val="000000" w:themeColor="text1"/>
          <w:lang w:eastAsia="cs-CZ"/>
        </w:rPr>
        <w:t xml:space="preserve"> na příštích 24 hodin probírané s pacienty a blízkými) a pouze 7</w:t>
      </w:r>
      <w:r w:rsidR="00441837">
        <w:rPr>
          <w:rFonts w:ascii="Times New Roman" w:eastAsia="Times New Roman" w:hAnsi="Times New Roman" w:cs="Times New Roman"/>
          <w:color w:val="000000" w:themeColor="text1"/>
          <w:lang w:eastAsia="cs-CZ"/>
        </w:rPr>
        <w:t xml:space="preserve"> </w:t>
      </w:r>
      <w:r w:rsidRPr="002177BB">
        <w:rPr>
          <w:rFonts w:ascii="Times New Roman" w:eastAsia="Times New Roman" w:hAnsi="Times New Roman" w:cs="Times New Roman"/>
          <w:color w:val="000000" w:themeColor="text1"/>
          <w:lang w:eastAsia="cs-CZ"/>
        </w:rPr>
        <w:t>% zahrnovalo C3 (</w:t>
      </w:r>
      <w:r w:rsidR="00B952E5">
        <w:rPr>
          <w:rFonts w:ascii="Times New Roman" w:eastAsia="Times New Roman" w:hAnsi="Times New Roman" w:cs="Times New Roman"/>
          <w:color w:val="000000" w:themeColor="text1"/>
          <w:lang w:eastAsia="cs-CZ"/>
        </w:rPr>
        <w:t>přebírající sestra službu shrne veškeré informace a potvrdí je s pacientem a kolegy</w:t>
      </w:r>
      <w:r w:rsidRPr="002177BB">
        <w:rPr>
          <w:rFonts w:ascii="Times New Roman" w:eastAsia="Times New Roman" w:hAnsi="Times New Roman" w:cs="Times New Roman"/>
          <w:color w:val="000000" w:themeColor="text1"/>
          <w:lang w:eastAsia="cs-CZ"/>
        </w:rPr>
        <w:t>).</w:t>
      </w:r>
      <w:r w:rsidR="00BF1F6C">
        <w:rPr>
          <w:rFonts w:ascii="Times New Roman" w:eastAsia="Times New Roman" w:hAnsi="Times New Roman" w:cs="Times New Roman"/>
          <w:color w:val="000000" w:themeColor="text1"/>
          <w:lang w:eastAsia="cs-CZ"/>
        </w:rPr>
        <w:t xml:space="preserve"> </w:t>
      </w:r>
      <w:r w:rsidR="00BF1F6C" w:rsidRPr="00BF1F6C">
        <w:rPr>
          <w:rFonts w:ascii="Times New Roman" w:eastAsia="Times New Roman" w:hAnsi="Times New Roman" w:cs="Times New Roman"/>
          <w:color w:val="000000" w:themeColor="text1"/>
          <w:lang w:eastAsia="cs-CZ"/>
        </w:rPr>
        <w:t xml:space="preserve">Jedná se o </w:t>
      </w:r>
      <w:proofErr w:type="spellStart"/>
      <w:r w:rsidR="00BF1F6C" w:rsidRPr="00BF1F6C">
        <w:rPr>
          <w:rFonts w:ascii="Times New Roman" w:eastAsia="Times New Roman" w:hAnsi="Times New Roman" w:cs="Times New Roman"/>
          <w:color w:val="000000" w:themeColor="text1"/>
          <w:lang w:eastAsia="cs-CZ"/>
        </w:rPr>
        <w:t>jedn</w:t>
      </w:r>
      <w:r w:rsidR="00441837">
        <w:rPr>
          <w:rFonts w:ascii="Times New Roman" w:eastAsia="Times New Roman" w:hAnsi="Times New Roman" w:cs="Times New Roman"/>
          <w:color w:val="000000" w:themeColor="text1"/>
          <w:lang w:eastAsia="cs-CZ"/>
        </w:rPr>
        <w:t>e</w:t>
      </w:r>
      <w:proofErr w:type="spellEnd"/>
      <w:r w:rsidR="00BF1F6C" w:rsidRPr="00BF1F6C">
        <w:rPr>
          <w:rFonts w:ascii="Times New Roman" w:eastAsia="Times New Roman" w:hAnsi="Times New Roman" w:cs="Times New Roman"/>
          <w:color w:val="000000" w:themeColor="text1"/>
          <w:lang w:eastAsia="cs-CZ"/>
        </w:rPr>
        <w:t xml:space="preserve"> z</w:t>
      </w:r>
      <w:r w:rsidR="00BF1F6C">
        <w:rPr>
          <w:rFonts w:ascii="Times New Roman" w:eastAsia="Times New Roman" w:hAnsi="Times New Roman" w:cs="Times New Roman"/>
          <w:color w:val="000000" w:themeColor="text1"/>
          <w:lang w:eastAsia="cs-CZ"/>
        </w:rPr>
        <w:t> </w:t>
      </w:r>
      <w:r w:rsidR="00BF1F6C" w:rsidRPr="00BF1F6C">
        <w:rPr>
          <w:rFonts w:ascii="Times New Roman" w:eastAsia="Times New Roman" w:hAnsi="Times New Roman" w:cs="Times New Roman"/>
          <w:color w:val="000000" w:themeColor="text1"/>
          <w:lang w:eastAsia="cs-CZ"/>
        </w:rPr>
        <w:t>pod</w:t>
      </w:r>
      <w:r w:rsidR="00BF1F6C">
        <w:rPr>
          <w:rFonts w:ascii="Times New Roman" w:eastAsia="Times New Roman" w:hAnsi="Times New Roman" w:cs="Times New Roman"/>
          <w:color w:val="000000" w:themeColor="text1"/>
          <w:lang w:eastAsia="cs-CZ"/>
        </w:rPr>
        <w:t xml:space="preserve"> bodů</w:t>
      </w:r>
      <w:r w:rsidR="00BF1F6C" w:rsidRPr="00BF1F6C">
        <w:rPr>
          <w:rFonts w:ascii="Times New Roman" w:eastAsia="Times New Roman" w:hAnsi="Times New Roman" w:cs="Times New Roman"/>
          <w:color w:val="000000" w:themeColor="text1"/>
          <w:lang w:eastAsia="cs-CZ"/>
        </w:rPr>
        <w:t>, které vyžadují pokročilé komunikační schopnosti a znalost postup</w:t>
      </w:r>
      <w:r w:rsidR="00441837">
        <w:rPr>
          <w:rFonts w:ascii="Times New Roman" w:eastAsia="Times New Roman" w:hAnsi="Times New Roman" w:cs="Times New Roman"/>
          <w:color w:val="000000" w:themeColor="text1"/>
          <w:lang w:eastAsia="cs-CZ"/>
        </w:rPr>
        <w:t>ů</w:t>
      </w:r>
      <w:r w:rsidR="00BF1F6C" w:rsidRPr="00BF1F6C">
        <w:rPr>
          <w:rFonts w:ascii="Times New Roman" w:eastAsia="Times New Roman" w:hAnsi="Times New Roman" w:cs="Times New Roman"/>
          <w:color w:val="000000" w:themeColor="text1"/>
          <w:lang w:eastAsia="cs-CZ"/>
        </w:rPr>
        <w:t>. Skutečnost, že toto</w:t>
      </w:r>
      <w:r w:rsidR="00BF1F6C">
        <w:rPr>
          <w:rFonts w:ascii="Times New Roman" w:eastAsia="Times New Roman" w:hAnsi="Times New Roman" w:cs="Times New Roman"/>
          <w:color w:val="000000" w:themeColor="text1"/>
          <w:lang w:eastAsia="cs-CZ"/>
        </w:rPr>
        <w:t xml:space="preserve"> závěrečné</w:t>
      </w:r>
      <w:r w:rsidR="00BF1F6C" w:rsidRPr="00BF1F6C">
        <w:rPr>
          <w:rFonts w:ascii="Times New Roman" w:eastAsia="Times New Roman" w:hAnsi="Times New Roman" w:cs="Times New Roman"/>
          <w:color w:val="000000" w:themeColor="text1"/>
          <w:lang w:eastAsia="cs-CZ"/>
        </w:rPr>
        <w:t xml:space="preserve"> shrnutí nejčastěji chybělo, může bránit účinné výměně informací a vytvářet překážku pro aktivní účast pacientů. Další překážkou by mohlo být, že rovné partnerství, popsané jako klíčová složka PCC (nejvyšší a nejžádanější úroveň účasti pacientů) podle </w:t>
      </w:r>
      <w:proofErr w:type="spellStart"/>
      <w:r w:rsidR="00BF1F6C" w:rsidRPr="00BF1F6C">
        <w:rPr>
          <w:rFonts w:ascii="Times New Roman" w:eastAsia="Times New Roman" w:hAnsi="Times New Roman" w:cs="Times New Roman"/>
          <w:color w:val="000000" w:themeColor="text1"/>
          <w:lang w:eastAsia="cs-CZ"/>
        </w:rPr>
        <w:t>Cahilla</w:t>
      </w:r>
      <w:proofErr w:type="spellEnd"/>
      <w:r w:rsidR="00BF1F6C" w:rsidRPr="00BF1F6C">
        <w:rPr>
          <w:rFonts w:ascii="Times New Roman" w:eastAsia="Times New Roman" w:hAnsi="Times New Roman" w:cs="Times New Roman"/>
          <w:color w:val="000000" w:themeColor="text1"/>
          <w:lang w:eastAsia="cs-CZ"/>
        </w:rPr>
        <w:t xml:space="preserve"> (12), nebylo zavedeno. </w:t>
      </w:r>
      <w:proofErr w:type="spellStart"/>
      <w:r w:rsidR="00BF1F6C" w:rsidRPr="00BF1F6C">
        <w:rPr>
          <w:rFonts w:ascii="Times New Roman" w:eastAsia="Times New Roman" w:hAnsi="Times New Roman" w:cs="Times New Roman"/>
          <w:color w:val="000000" w:themeColor="text1"/>
          <w:lang w:eastAsia="cs-CZ"/>
        </w:rPr>
        <w:t>M</w:t>
      </w:r>
      <w:r w:rsidR="00BF1F6C">
        <w:rPr>
          <w:rFonts w:ascii="Times New Roman" w:eastAsia="Times New Roman" w:hAnsi="Times New Roman" w:cs="Times New Roman"/>
          <w:color w:val="000000" w:themeColor="text1"/>
          <w:lang w:eastAsia="cs-CZ"/>
        </w:rPr>
        <w:t>a</w:t>
      </w:r>
      <w:r w:rsidR="00BF1F6C" w:rsidRPr="00BF1F6C">
        <w:rPr>
          <w:rFonts w:ascii="Times New Roman" w:eastAsia="Times New Roman" w:hAnsi="Times New Roman" w:cs="Times New Roman"/>
          <w:color w:val="000000" w:themeColor="text1"/>
          <w:lang w:eastAsia="cs-CZ"/>
        </w:rPr>
        <w:t>atta</w:t>
      </w:r>
      <w:proofErr w:type="spellEnd"/>
      <w:r w:rsidR="00BF1F6C" w:rsidRPr="00BF1F6C">
        <w:rPr>
          <w:rFonts w:ascii="Times New Roman" w:eastAsia="Times New Roman" w:hAnsi="Times New Roman" w:cs="Times New Roman"/>
          <w:color w:val="000000" w:themeColor="text1"/>
          <w:lang w:eastAsia="cs-CZ"/>
        </w:rPr>
        <w:t xml:space="preserve"> kol. (20) se ptá, zda je žádoucí nebo dokonce možné rovnocenné partnerství mezi pacienty a poskytovateli zdravotní péče. Ve srovnání s jinými studiemi (34, 35) se zdá, že podíl sezení v rámci PCH, při nichž účast pacientů dosáhla sdílené odpovědnosti a výměny informací (D2), je vyšší (58 %). Jedním z vysvětlení by mohlo být, že účelem nového modelu předání bylo zvýšit aktivní účast pacientů s kontrolním seznamem PCR vyzývajícím pacienta k hlášení jakýchkoli záležitostí souvisejících s péčí (B2). Poměrně vysoký podíl (42 %) předání, u nichž nebyla pozorována sdílená odpovědnost, mohl mít rovněž negativní dopad na spoluúčast pacientů.</w:t>
      </w:r>
      <w:r w:rsidR="00BF1F6C">
        <w:rPr>
          <w:rFonts w:ascii="Times New Roman" w:eastAsia="Times New Roman" w:hAnsi="Times New Roman" w:cs="Times New Roman"/>
          <w:color w:val="000000" w:themeColor="text1"/>
          <w:lang w:eastAsia="cs-CZ"/>
        </w:rPr>
        <w:t xml:space="preserve"> </w:t>
      </w:r>
      <w:r w:rsidR="00BF1F6C" w:rsidRPr="00BF1F6C">
        <w:rPr>
          <w:rFonts w:ascii="Times New Roman" w:eastAsia="Times New Roman" w:hAnsi="Times New Roman" w:cs="Times New Roman"/>
          <w:color w:val="000000" w:themeColor="text1"/>
          <w:lang w:eastAsia="cs-CZ"/>
        </w:rPr>
        <w:t xml:space="preserve">Nejhůře byla provedena také poslední složka PCH, bezpečnost (E1-6). Ve srovnání s komunikačními </w:t>
      </w:r>
      <w:r w:rsidR="00BF1F6C" w:rsidRPr="00BF1F6C">
        <w:rPr>
          <w:rFonts w:ascii="Times New Roman" w:eastAsia="Times New Roman" w:hAnsi="Times New Roman" w:cs="Times New Roman"/>
          <w:color w:val="000000" w:themeColor="text1"/>
          <w:lang w:eastAsia="cs-CZ"/>
        </w:rPr>
        <w:lastRenderedPageBreak/>
        <w:t xml:space="preserve">bezpečnostními </w:t>
      </w:r>
      <w:r w:rsidR="00BF1F6C">
        <w:rPr>
          <w:rFonts w:ascii="Times New Roman" w:eastAsia="Times New Roman" w:hAnsi="Times New Roman" w:cs="Times New Roman"/>
          <w:color w:val="000000" w:themeColor="text1"/>
          <w:lang w:eastAsia="cs-CZ"/>
        </w:rPr>
        <w:t xml:space="preserve">pod body </w:t>
      </w:r>
      <w:r w:rsidR="00BF1F6C" w:rsidRPr="00BF1F6C">
        <w:rPr>
          <w:rFonts w:ascii="Times New Roman" w:eastAsia="Times New Roman" w:hAnsi="Times New Roman" w:cs="Times New Roman"/>
          <w:color w:val="000000" w:themeColor="text1"/>
          <w:lang w:eastAsia="cs-CZ"/>
        </w:rPr>
        <w:t>(E2, E4-6) byly častěji prováděny dv</w:t>
      </w:r>
      <w:r w:rsidR="00441837">
        <w:rPr>
          <w:rFonts w:ascii="Times New Roman" w:eastAsia="Times New Roman" w:hAnsi="Times New Roman" w:cs="Times New Roman"/>
          <w:color w:val="000000" w:themeColor="text1"/>
          <w:lang w:eastAsia="cs-CZ"/>
        </w:rPr>
        <w:t>a</w:t>
      </w:r>
      <w:r w:rsidR="00BF1F6C" w:rsidRPr="00BF1F6C">
        <w:rPr>
          <w:rFonts w:ascii="Times New Roman" w:eastAsia="Times New Roman" w:hAnsi="Times New Roman" w:cs="Times New Roman"/>
          <w:color w:val="000000" w:themeColor="text1"/>
          <w:lang w:eastAsia="cs-CZ"/>
        </w:rPr>
        <w:t xml:space="preserve"> specializované bezpečnostní </w:t>
      </w:r>
      <w:proofErr w:type="spellStart"/>
      <w:r w:rsidR="00BF1F6C" w:rsidRPr="00BF1F6C">
        <w:rPr>
          <w:rFonts w:ascii="Times New Roman" w:eastAsia="Times New Roman" w:hAnsi="Times New Roman" w:cs="Times New Roman"/>
          <w:color w:val="000000" w:themeColor="text1"/>
          <w:lang w:eastAsia="cs-CZ"/>
        </w:rPr>
        <w:t>ko</w:t>
      </w:r>
      <w:r w:rsidR="00441837">
        <w:rPr>
          <w:rFonts w:ascii="Times New Roman" w:eastAsia="Times New Roman" w:hAnsi="Times New Roman" w:cs="Times New Roman"/>
          <w:color w:val="000000" w:themeColor="text1"/>
          <w:lang w:eastAsia="cs-CZ"/>
        </w:rPr>
        <w:t>ntroli</w:t>
      </w:r>
      <w:proofErr w:type="spellEnd"/>
      <w:r w:rsidR="00BF1F6C" w:rsidRPr="00BF1F6C">
        <w:rPr>
          <w:rFonts w:ascii="Times New Roman" w:eastAsia="Times New Roman" w:hAnsi="Times New Roman" w:cs="Times New Roman"/>
          <w:color w:val="000000" w:themeColor="text1"/>
          <w:lang w:eastAsia="cs-CZ"/>
        </w:rPr>
        <w:t xml:space="preserve"> (</w:t>
      </w:r>
      <w:r w:rsidR="00BF1F6C">
        <w:rPr>
          <w:rFonts w:ascii="Times New Roman" w:eastAsia="Times New Roman" w:hAnsi="Times New Roman" w:cs="Times New Roman"/>
          <w:color w:val="000000" w:themeColor="text1"/>
          <w:lang w:eastAsia="cs-CZ"/>
        </w:rPr>
        <w:t>identifikace pacienta</w:t>
      </w:r>
      <w:r w:rsidR="00BF1F6C" w:rsidRPr="00BF1F6C">
        <w:rPr>
          <w:rFonts w:ascii="Times New Roman" w:eastAsia="Times New Roman" w:hAnsi="Times New Roman" w:cs="Times New Roman"/>
          <w:color w:val="000000" w:themeColor="text1"/>
          <w:lang w:eastAsia="cs-CZ"/>
        </w:rPr>
        <w:t xml:space="preserve"> a kontrola probíhajících infuzí, E1 a E3). </w:t>
      </w:r>
      <w:proofErr w:type="spellStart"/>
      <w:r w:rsidR="00BF1F6C" w:rsidRPr="00BF1F6C">
        <w:rPr>
          <w:rFonts w:ascii="Times New Roman" w:eastAsia="Times New Roman" w:hAnsi="Times New Roman" w:cs="Times New Roman"/>
          <w:color w:val="000000" w:themeColor="text1"/>
          <w:lang w:eastAsia="cs-CZ"/>
        </w:rPr>
        <w:t>Chen</w:t>
      </w:r>
      <w:proofErr w:type="spellEnd"/>
      <w:r w:rsidR="00BF1F6C" w:rsidRPr="00BF1F6C">
        <w:rPr>
          <w:rFonts w:ascii="Times New Roman" w:eastAsia="Times New Roman" w:hAnsi="Times New Roman" w:cs="Times New Roman"/>
          <w:color w:val="000000" w:themeColor="text1"/>
          <w:lang w:eastAsia="cs-CZ"/>
        </w:rPr>
        <w:t xml:space="preserve"> a kol. (36) ve své kvalitativní studii rovněž zjistili, že sestry v akutní péče upřednostňují praktičtější úkoly. </w:t>
      </w:r>
      <w:r w:rsidR="000D4B7B">
        <w:rPr>
          <w:rFonts w:ascii="Times New Roman" w:eastAsia="Times New Roman" w:hAnsi="Times New Roman" w:cs="Times New Roman"/>
          <w:color w:val="000000" w:themeColor="text1"/>
          <w:lang w:eastAsia="cs-CZ"/>
        </w:rPr>
        <w:t>Stejní</w:t>
      </w:r>
      <w:r w:rsidR="00BF1F6C" w:rsidRPr="00BF1F6C">
        <w:rPr>
          <w:rFonts w:ascii="Times New Roman" w:eastAsia="Times New Roman" w:hAnsi="Times New Roman" w:cs="Times New Roman"/>
          <w:color w:val="000000" w:themeColor="text1"/>
          <w:lang w:eastAsia="cs-CZ"/>
        </w:rPr>
        <w:t xml:space="preserve"> autoři docházejí k závěru, že se jednalo o překážku účinné komunikace a promarněnou příležitost ke zlepšení bezpečnosti i každodenní účasti pacientů. Krátké časové rozmezí mezi zavedením PCH a pozorováními může případně vysvětlovat stanovení priorit.</w:t>
      </w:r>
      <w:r w:rsidR="000D4B7B">
        <w:rPr>
          <w:rFonts w:ascii="Times New Roman" w:eastAsia="Times New Roman" w:hAnsi="Times New Roman" w:cs="Times New Roman"/>
          <w:color w:val="000000" w:themeColor="text1"/>
          <w:lang w:eastAsia="cs-CZ"/>
        </w:rPr>
        <w:t xml:space="preserve"> </w:t>
      </w:r>
      <w:r w:rsidR="00BF1F6C" w:rsidRPr="00BF1F6C">
        <w:rPr>
          <w:rFonts w:ascii="Times New Roman" w:eastAsia="Times New Roman" w:hAnsi="Times New Roman" w:cs="Times New Roman"/>
          <w:color w:val="000000" w:themeColor="text1"/>
          <w:lang w:eastAsia="cs-CZ"/>
        </w:rPr>
        <w:t>To může být důvodem trvale nižší výkonnosti všech dílčích složek vyžadujících komunikaci. Komunikační dovednosti sester jsou klíčovou složkou, kterou lze rozvíjet a zlepšovat vzděláním a zkušenostmi.</w:t>
      </w:r>
      <w:r w:rsidR="000D4B7B">
        <w:rPr>
          <w:rFonts w:ascii="Times New Roman" w:eastAsia="Times New Roman" w:hAnsi="Times New Roman" w:cs="Times New Roman"/>
          <w:color w:val="000000" w:themeColor="text1"/>
          <w:lang w:eastAsia="cs-CZ"/>
        </w:rPr>
        <w:t xml:space="preserve"> </w:t>
      </w:r>
      <w:r w:rsidR="000D4B7B" w:rsidRPr="000D4B7B">
        <w:rPr>
          <w:rFonts w:ascii="Times New Roman" w:eastAsia="Times New Roman" w:hAnsi="Times New Roman" w:cs="Times New Roman"/>
          <w:color w:val="000000" w:themeColor="text1"/>
          <w:lang w:eastAsia="cs-CZ"/>
        </w:rPr>
        <w:t xml:space="preserve">Jak </w:t>
      </w:r>
      <w:proofErr w:type="spellStart"/>
      <w:r w:rsidR="000D4B7B" w:rsidRPr="000D4B7B">
        <w:rPr>
          <w:rFonts w:ascii="Times New Roman" w:eastAsia="Times New Roman" w:hAnsi="Times New Roman" w:cs="Times New Roman"/>
          <w:color w:val="000000" w:themeColor="text1"/>
          <w:lang w:eastAsia="cs-CZ"/>
        </w:rPr>
        <w:t>Drach-Zahavy</w:t>
      </w:r>
      <w:proofErr w:type="spellEnd"/>
      <w:r w:rsidR="000D4B7B" w:rsidRPr="000D4B7B">
        <w:rPr>
          <w:rFonts w:ascii="Times New Roman" w:eastAsia="Times New Roman" w:hAnsi="Times New Roman" w:cs="Times New Roman"/>
          <w:color w:val="000000" w:themeColor="text1"/>
          <w:lang w:eastAsia="cs-CZ"/>
        </w:rPr>
        <w:t xml:space="preserve">, tak </w:t>
      </w:r>
      <w:proofErr w:type="spellStart"/>
      <w:r w:rsidR="000D4B7B" w:rsidRPr="000D4B7B">
        <w:rPr>
          <w:rFonts w:ascii="Times New Roman" w:eastAsia="Times New Roman" w:hAnsi="Times New Roman" w:cs="Times New Roman"/>
          <w:color w:val="000000" w:themeColor="text1"/>
          <w:lang w:eastAsia="cs-CZ"/>
        </w:rPr>
        <w:t>Shilman</w:t>
      </w:r>
      <w:proofErr w:type="spellEnd"/>
      <w:r w:rsidR="000D4B7B" w:rsidRPr="000D4B7B">
        <w:rPr>
          <w:rFonts w:ascii="Times New Roman" w:eastAsia="Times New Roman" w:hAnsi="Times New Roman" w:cs="Times New Roman"/>
          <w:color w:val="000000" w:themeColor="text1"/>
          <w:lang w:eastAsia="cs-CZ"/>
        </w:rPr>
        <w:t xml:space="preserve"> (35) a </w:t>
      </w:r>
      <w:proofErr w:type="spellStart"/>
      <w:r w:rsidR="000D4B7B" w:rsidRPr="000D4B7B">
        <w:rPr>
          <w:rFonts w:ascii="Times New Roman" w:eastAsia="Times New Roman" w:hAnsi="Times New Roman" w:cs="Times New Roman"/>
          <w:color w:val="000000" w:themeColor="text1"/>
          <w:lang w:eastAsia="cs-CZ"/>
        </w:rPr>
        <w:t>Tobiano</w:t>
      </w:r>
      <w:proofErr w:type="spellEnd"/>
      <w:r w:rsidR="000D4B7B" w:rsidRPr="000D4B7B">
        <w:rPr>
          <w:rFonts w:ascii="Times New Roman" w:eastAsia="Times New Roman" w:hAnsi="Times New Roman" w:cs="Times New Roman"/>
          <w:color w:val="000000" w:themeColor="text1"/>
          <w:lang w:eastAsia="cs-CZ"/>
        </w:rPr>
        <w:t xml:space="preserve"> a kol. (32) došli k závěru, že je třeba zlepšit komunikační dovednosti zdravotních sester, aby se usnadnila účast pacientů při předání pacienta. </w:t>
      </w:r>
      <w:proofErr w:type="spellStart"/>
      <w:r w:rsidR="000D4B7B" w:rsidRPr="000D4B7B">
        <w:rPr>
          <w:rFonts w:ascii="Times New Roman" w:eastAsia="Times New Roman" w:hAnsi="Times New Roman" w:cs="Times New Roman"/>
          <w:color w:val="000000" w:themeColor="text1"/>
          <w:lang w:eastAsia="cs-CZ"/>
        </w:rPr>
        <w:t>Drach-Zahavy</w:t>
      </w:r>
      <w:proofErr w:type="spellEnd"/>
      <w:r w:rsidR="000D4B7B" w:rsidRPr="000D4B7B">
        <w:rPr>
          <w:rFonts w:ascii="Times New Roman" w:eastAsia="Times New Roman" w:hAnsi="Times New Roman" w:cs="Times New Roman"/>
          <w:color w:val="000000" w:themeColor="text1"/>
          <w:lang w:eastAsia="cs-CZ"/>
        </w:rPr>
        <w:t xml:space="preserve"> a </w:t>
      </w:r>
      <w:proofErr w:type="spellStart"/>
      <w:r w:rsidR="000D4B7B" w:rsidRPr="000D4B7B">
        <w:rPr>
          <w:rFonts w:ascii="Times New Roman" w:eastAsia="Times New Roman" w:hAnsi="Times New Roman" w:cs="Times New Roman"/>
          <w:color w:val="000000" w:themeColor="text1"/>
          <w:lang w:eastAsia="cs-CZ"/>
        </w:rPr>
        <w:t>Shilman</w:t>
      </w:r>
      <w:proofErr w:type="spellEnd"/>
      <w:r w:rsidR="000D4B7B" w:rsidRPr="000D4B7B">
        <w:rPr>
          <w:rFonts w:ascii="Times New Roman" w:eastAsia="Times New Roman" w:hAnsi="Times New Roman" w:cs="Times New Roman"/>
          <w:color w:val="000000" w:themeColor="text1"/>
          <w:lang w:eastAsia="cs-CZ"/>
        </w:rPr>
        <w:t xml:space="preserve"> (35) také zjistili, že výměna informací se zlepšila, pokud byli přítomni blízcí pacientů. Ve studii porovnávající preference pacientů a zdravotní sestry bylo uvedeno, že přítomnost blízké osoby během předání byla pro pacienty důležitá, ale mezi zdravotními sestrami nebyla považována za důležitou (37). V naší studii pouze 9</w:t>
      </w:r>
      <w:r w:rsidR="00441837">
        <w:rPr>
          <w:rFonts w:ascii="Times New Roman" w:eastAsia="Times New Roman" w:hAnsi="Times New Roman" w:cs="Times New Roman"/>
          <w:color w:val="000000" w:themeColor="text1"/>
          <w:lang w:eastAsia="cs-CZ"/>
        </w:rPr>
        <w:t xml:space="preserve"> </w:t>
      </w:r>
      <w:r w:rsidR="000D4B7B" w:rsidRPr="000D4B7B">
        <w:rPr>
          <w:rFonts w:ascii="Times New Roman" w:eastAsia="Times New Roman" w:hAnsi="Times New Roman" w:cs="Times New Roman"/>
          <w:color w:val="000000" w:themeColor="text1"/>
          <w:lang w:eastAsia="cs-CZ"/>
        </w:rPr>
        <w:t xml:space="preserve">% pacientů mělo svého blízkého. Možnou cestou ke zlepšení komunikace by proto bylo motivovat </w:t>
      </w:r>
      <w:r w:rsidR="000D4B7B">
        <w:rPr>
          <w:rFonts w:ascii="Times New Roman" w:eastAsia="Times New Roman" w:hAnsi="Times New Roman" w:cs="Times New Roman"/>
          <w:color w:val="000000" w:themeColor="text1"/>
          <w:lang w:eastAsia="cs-CZ"/>
        </w:rPr>
        <w:t>rodinu</w:t>
      </w:r>
      <w:r w:rsidR="00441837">
        <w:rPr>
          <w:rFonts w:ascii="Times New Roman" w:eastAsia="Times New Roman" w:hAnsi="Times New Roman" w:cs="Times New Roman"/>
          <w:color w:val="000000" w:themeColor="text1"/>
          <w:lang w:eastAsia="cs-CZ"/>
        </w:rPr>
        <w:t>,</w:t>
      </w:r>
      <w:r w:rsidR="000D4B7B" w:rsidRPr="000D4B7B">
        <w:rPr>
          <w:rFonts w:ascii="Times New Roman" w:eastAsia="Times New Roman" w:hAnsi="Times New Roman" w:cs="Times New Roman"/>
          <w:color w:val="000000" w:themeColor="text1"/>
          <w:lang w:eastAsia="cs-CZ"/>
        </w:rPr>
        <w:t xml:space="preserve"> </w:t>
      </w:r>
      <w:r w:rsidR="000D4B7B">
        <w:rPr>
          <w:rFonts w:ascii="Times New Roman" w:eastAsia="Times New Roman" w:hAnsi="Times New Roman" w:cs="Times New Roman"/>
          <w:color w:val="000000" w:themeColor="text1"/>
          <w:lang w:eastAsia="cs-CZ"/>
        </w:rPr>
        <w:t>nebo</w:t>
      </w:r>
      <w:r w:rsidR="000D4B7B" w:rsidRPr="000D4B7B">
        <w:rPr>
          <w:rFonts w:ascii="Times New Roman" w:eastAsia="Times New Roman" w:hAnsi="Times New Roman" w:cs="Times New Roman"/>
          <w:color w:val="000000" w:themeColor="text1"/>
          <w:lang w:eastAsia="cs-CZ"/>
        </w:rPr>
        <w:t xml:space="preserve"> další blízké, aby se zde aktivně zapojili.</w:t>
      </w:r>
      <w:r w:rsidR="000D4B7B">
        <w:rPr>
          <w:rFonts w:ascii="Times New Roman" w:eastAsia="Times New Roman" w:hAnsi="Times New Roman" w:cs="Times New Roman"/>
          <w:color w:val="000000" w:themeColor="text1"/>
          <w:lang w:eastAsia="cs-CZ"/>
        </w:rPr>
        <w:t xml:space="preserve"> </w:t>
      </w:r>
      <w:r w:rsidR="000D4B7B" w:rsidRPr="000D4B7B">
        <w:rPr>
          <w:rFonts w:ascii="Times New Roman" w:eastAsia="Times New Roman" w:hAnsi="Times New Roman" w:cs="Times New Roman"/>
          <w:color w:val="000000" w:themeColor="text1"/>
          <w:lang w:eastAsia="cs-CZ"/>
        </w:rPr>
        <w:t xml:space="preserve">Průměrný čas strávený na každém PCH sezení v naší studii byl 6 minut. </w:t>
      </w:r>
      <w:proofErr w:type="spellStart"/>
      <w:r w:rsidR="000D4B7B" w:rsidRPr="000D4B7B">
        <w:rPr>
          <w:rFonts w:ascii="Times New Roman" w:eastAsia="Times New Roman" w:hAnsi="Times New Roman" w:cs="Times New Roman"/>
          <w:color w:val="000000" w:themeColor="text1"/>
          <w:lang w:eastAsia="cs-CZ"/>
        </w:rPr>
        <w:t>Timonen</w:t>
      </w:r>
      <w:proofErr w:type="spellEnd"/>
      <w:r w:rsidR="000D4B7B" w:rsidRPr="000D4B7B">
        <w:rPr>
          <w:rFonts w:ascii="Times New Roman" w:eastAsia="Times New Roman" w:hAnsi="Times New Roman" w:cs="Times New Roman"/>
          <w:color w:val="000000" w:themeColor="text1"/>
          <w:lang w:eastAsia="cs-CZ"/>
        </w:rPr>
        <w:t xml:space="preserve"> a </w:t>
      </w:r>
      <w:proofErr w:type="spellStart"/>
      <w:r w:rsidR="000D4B7B" w:rsidRPr="000D4B7B">
        <w:rPr>
          <w:rFonts w:ascii="Times New Roman" w:eastAsia="Times New Roman" w:hAnsi="Times New Roman" w:cs="Times New Roman"/>
          <w:color w:val="000000" w:themeColor="text1"/>
          <w:lang w:eastAsia="cs-CZ"/>
        </w:rPr>
        <w:t>Sihvonen</w:t>
      </w:r>
      <w:proofErr w:type="spellEnd"/>
      <w:r w:rsidR="000D4B7B" w:rsidRPr="000D4B7B">
        <w:rPr>
          <w:rFonts w:ascii="Times New Roman" w:eastAsia="Times New Roman" w:hAnsi="Times New Roman" w:cs="Times New Roman"/>
          <w:color w:val="000000" w:themeColor="text1"/>
          <w:lang w:eastAsia="cs-CZ"/>
        </w:rPr>
        <w:t xml:space="preserve"> (33) pozorovali ve své studii z chirurgických oddělení nemocnice průměrnou dobu 3 minuty, zatímco </w:t>
      </w:r>
      <w:proofErr w:type="spellStart"/>
      <w:r w:rsidR="000D4B7B" w:rsidRPr="000D4B7B">
        <w:rPr>
          <w:rFonts w:ascii="Times New Roman" w:eastAsia="Times New Roman" w:hAnsi="Times New Roman" w:cs="Times New Roman"/>
          <w:color w:val="000000" w:themeColor="text1"/>
          <w:lang w:eastAsia="cs-CZ"/>
        </w:rPr>
        <w:t>Philpin</w:t>
      </w:r>
      <w:proofErr w:type="spellEnd"/>
      <w:r w:rsidR="000D4B7B" w:rsidRPr="000D4B7B">
        <w:rPr>
          <w:rFonts w:ascii="Times New Roman" w:eastAsia="Times New Roman" w:hAnsi="Times New Roman" w:cs="Times New Roman"/>
          <w:color w:val="000000" w:themeColor="text1"/>
          <w:lang w:eastAsia="cs-CZ"/>
        </w:rPr>
        <w:t xml:space="preserve"> (31) pozorovala 15 minut u sezení při předání pacientk</w:t>
      </w:r>
      <w:r w:rsidR="002F10FF">
        <w:rPr>
          <w:rFonts w:ascii="Times New Roman" w:eastAsia="Times New Roman" w:hAnsi="Times New Roman" w:cs="Times New Roman"/>
          <w:color w:val="000000" w:themeColor="text1"/>
          <w:lang w:eastAsia="cs-CZ"/>
        </w:rPr>
        <w:t>y</w:t>
      </w:r>
      <w:r w:rsidR="000D4B7B" w:rsidRPr="000D4B7B">
        <w:rPr>
          <w:rFonts w:ascii="Times New Roman" w:eastAsia="Times New Roman" w:hAnsi="Times New Roman" w:cs="Times New Roman"/>
          <w:color w:val="000000" w:themeColor="text1"/>
          <w:lang w:eastAsia="cs-CZ"/>
        </w:rPr>
        <w:t xml:space="preserve"> v její studii z oddělení intenzivní péče. Předání pacientů u lůžka bylo popsáno jako časově náročné i efektivní (7, 24). Předchozí předání ošetřovatelské péče na sesterně obvykle trvalo 1 hodinu. Vzhledem k tomu, že na těchto odděleních</w:t>
      </w:r>
      <w:r w:rsidR="002F10FF">
        <w:rPr>
          <w:rFonts w:ascii="Times New Roman" w:eastAsia="Times New Roman" w:hAnsi="Times New Roman" w:cs="Times New Roman"/>
          <w:color w:val="000000" w:themeColor="text1"/>
          <w:lang w:eastAsia="cs-CZ"/>
        </w:rPr>
        <w:t xml:space="preserve"> má sestra běžně na starosti maximálně 6 pacientů.</w:t>
      </w:r>
      <w:r w:rsidR="000D4B7B" w:rsidRPr="000D4B7B">
        <w:rPr>
          <w:rFonts w:ascii="Times New Roman" w:eastAsia="Times New Roman" w:hAnsi="Times New Roman" w:cs="Times New Roman"/>
          <w:color w:val="000000" w:themeColor="text1"/>
          <w:lang w:eastAsia="cs-CZ"/>
        </w:rPr>
        <w:t xml:space="preserve"> </w:t>
      </w:r>
      <w:r w:rsidR="00552417">
        <w:rPr>
          <w:rFonts w:ascii="Times New Roman" w:eastAsia="Times New Roman" w:hAnsi="Times New Roman" w:cs="Times New Roman"/>
          <w:color w:val="000000" w:themeColor="text1"/>
          <w:lang w:eastAsia="cs-CZ"/>
        </w:rPr>
        <w:t xml:space="preserve">Sestra má také 30 </w:t>
      </w:r>
      <w:r w:rsidR="002F10FF">
        <w:rPr>
          <w:rFonts w:ascii="Times New Roman" w:eastAsia="Times New Roman" w:hAnsi="Times New Roman" w:cs="Times New Roman"/>
          <w:color w:val="000000" w:themeColor="text1"/>
          <w:lang w:eastAsia="cs-CZ"/>
        </w:rPr>
        <w:t>minut pro</w:t>
      </w:r>
      <w:r w:rsidR="00552417">
        <w:rPr>
          <w:rFonts w:ascii="Times New Roman" w:eastAsia="Times New Roman" w:hAnsi="Times New Roman" w:cs="Times New Roman"/>
          <w:color w:val="000000" w:themeColor="text1"/>
          <w:lang w:eastAsia="cs-CZ"/>
        </w:rPr>
        <w:t xml:space="preserve"> přípravu předání služby,</w:t>
      </w:r>
      <w:r w:rsidR="000D4B7B" w:rsidRPr="000D4B7B">
        <w:rPr>
          <w:rFonts w:ascii="Times New Roman" w:eastAsia="Times New Roman" w:hAnsi="Times New Roman" w:cs="Times New Roman"/>
          <w:color w:val="000000" w:themeColor="text1"/>
          <w:lang w:eastAsia="cs-CZ"/>
        </w:rPr>
        <w:t xml:space="preserve"> byl by celkový čas strávený na PCH přibližně stejný.</w:t>
      </w:r>
    </w:p>
    <w:p w14:paraId="7CF31E05" w14:textId="27E0CA85" w:rsidR="002177BB" w:rsidRDefault="00552417" w:rsidP="00871369">
      <w:pPr>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ab/>
      </w:r>
      <w:r w:rsidRPr="00552417">
        <w:rPr>
          <w:rFonts w:ascii="Times New Roman" w:eastAsia="Times New Roman" w:hAnsi="Times New Roman" w:cs="Times New Roman"/>
          <w:color w:val="000000" w:themeColor="text1"/>
          <w:lang w:eastAsia="cs-CZ"/>
        </w:rPr>
        <w:t>S</w:t>
      </w:r>
      <w:r>
        <w:rPr>
          <w:rFonts w:ascii="Times New Roman" w:eastAsia="Times New Roman" w:hAnsi="Times New Roman" w:cs="Times New Roman"/>
          <w:color w:val="000000" w:themeColor="text1"/>
          <w:lang w:eastAsia="cs-CZ"/>
        </w:rPr>
        <w:t xml:space="preserve"> lepšími</w:t>
      </w:r>
      <w:r w:rsidRPr="00552417">
        <w:rPr>
          <w:rFonts w:ascii="Times New Roman" w:eastAsia="Times New Roman" w:hAnsi="Times New Roman" w:cs="Times New Roman"/>
          <w:color w:val="000000" w:themeColor="text1"/>
          <w:lang w:eastAsia="cs-CZ"/>
        </w:rPr>
        <w:t xml:space="preserve"> komunikačními schopnostmi by sestry měly možnost strávit větší část sezení PCH u lůžka, zejména pokud je využita dostupná IT podpora (např. notebook dostupný v pokoji pacienta během PCH pro přístup k EHR včetně digitálních instrukcí k léčbě), jak doporučuje </w:t>
      </w:r>
      <w:proofErr w:type="spellStart"/>
      <w:r w:rsidRPr="00552417">
        <w:rPr>
          <w:rFonts w:ascii="Times New Roman" w:eastAsia="Times New Roman" w:hAnsi="Times New Roman" w:cs="Times New Roman"/>
          <w:color w:val="000000" w:themeColor="text1"/>
          <w:lang w:eastAsia="cs-CZ"/>
        </w:rPr>
        <w:t>Smeulers</w:t>
      </w:r>
      <w:proofErr w:type="spellEnd"/>
      <w:r w:rsidRPr="00552417">
        <w:rPr>
          <w:rFonts w:ascii="Times New Roman" w:eastAsia="Times New Roman" w:hAnsi="Times New Roman" w:cs="Times New Roman"/>
          <w:color w:val="000000" w:themeColor="text1"/>
          <w:lang w:eastAsia="cs-CZ"/>
        </w:rPr>
        <w:t xml:space="preserve"> et al. (10). Náš předchozí výzkum (26) ukázal, že i</w:t>
      </w:r>
      <w:r w:rsidR="002F10FF">
        <w:rPr>
          <w:rFonts w:ascii="Times New Roman" w:eastAsia="Times New Roman" w:hAnsi="Times New Roman" w:cs="Times New Roman"/>
          <w:color w:val="000000" w:themeColor="text1"/>
          <w:lang w:eastAsia="cs-CZ"/>
        </w:rPr>
        <w:t xml:space="preserve"> </w:t>
      </w:r>
      <w:r w:rsidRPr="00552417">
        <w:rPr>
          <w:rFonts w:ascii="Times New Roman" w:eastAsia="Times New Roman" w:hAnsi="Times New Roman" w:cs="Times New Roman"/>
          <w:color w:val="000000" w:themeColor="text1"/>
          <w:lang w:eastAsia="cs-CZ"/>
        </w:rPr>
        <w:t xml:space="preserve">když jsou sezení v rámci PCH relativně krátká (konají se pouze jednou denně), pacienti zaznamenají pozitivní rozdíl (výrazně vyšší </w:t>
      </w:r>
      <w:r>
        <w:rPr>
          <w:rFonts w:ascii="Times New Roman" w:eastAsia="Times New Roman" w:hAnsi="Times New Roman" w:cs="Times New Roman"/>
          <w:color w:val="000000" w:themeColor="text1"/>
          <w:lang w:eastAsia="cs-CZ"/>
        </w:rPr>
        <w:t>podíl</w:t>
      </w:r>
      <w:r w:rsidRPr="00552417">
        <w:rPr>
          <w:rFonts w:ascii="Times New Roman" w:eastAsia="Times New Roman" w:hAnsi="Times New Roman" w:cs="Times New Roman"/>
          <w:color w:val="000000" w:themeColor="text1"/>
          <w:lang w:eastAsia="cs-CZ"/>
        </w:rPr>
        <w:t xml:space="preserve"> při výměně informací) ve srovnání s tradičním předáním </w:t>
      </w:r>
      <w:r>
        <w:rPr>
          <w:rFonts w:ascii="Times New Roman" w:eastAsia="Times New Roman" w:hAnsi="Times New Roman" w:cs="Times New Roman"/>
          <w:color w:val="000000" w:themeColor="text1"/>
          <w:lang w:eastAsia="cs-CZ"/>
        </w:rPr>
        <w:t>služby</w:t>
      </w:r>
      <w:r w:rsidRPr="00552417">
        <w:rPr>
          <w:rFonts w:ascii="Times New Roman" w:eastAsia="Times New Roman" w:hAnsi="Times New Roman" w:cs="Times New Roman"/>
          <w:color w:val="000000" w:themeColor="text1"/>
          <w:lang w:eastAsia="cs-CZ"/>
        </w:rPr>
        <w:t>.</w:t>
      </w:r>
    </w:p>
    <w:p w14:paraId="7258B953" w14:textId="77777777" w:rsidR="002177BB" w:rsidRDefault="002177BB" w:rsidP="00871369">
      <w:pPr>
        <w:rPr>
          <w:rFonts w:ascii="Times New Roman" w:eastAsia="Times New Roman" w:hAnsi="Times New Roman" w:cs="Times New Roman"/>
          <w:color w:val="000000" w:themeColor="text1"/>
          <w:lang w:eastAsia="cs-CZ"/>
        </w:rPr>
      </w:pPr>
    </w:p>
    <w:p w14:paraId="08FA089A" w14:textId="78974D02" w:rsidR="002177BB" w:rsidRDefault="00552417" w:rsidP="00871369">
      <w:pPr>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Silné a slabé stránky</w:t>
      </w:r>
    </w:p>
    <w:p w14:paraId="5F723A3D" w14:textId="3C312162" w:rsidR="00552417" w:rsidRDefault="00552417" w:rsidP="00871369">
      <w:pPr>
        <w:rPr>
          <w:rFonts w:ascii="Times New Roman" w:eastAsia="Times New Roman" w:hAnsi="Times New Roman" w:cs="Times New Roman"/>
          <w:color w:val="000000" w:themeColor="text1"/>
          <w:lang w:eastAsia="cs-CZ"/>
        </w:rPr>
      </w:pPr>
    </w:p>
    <w:p w14:paraId="43DA83AB" w14:textId="56B93B3D" w:rsidR="00552417" w:rsidRDefault="00552417" w:rsidP="00552417">
      <w:pPr>
        <w:ind w:firstLine="708"/>
        <w:rPr>
          <w:rFonts w:ascii="Times New Roman" w:eastAsia="Times New Roman" w:hAnsi="Times New Roman" w:cs="Times New Roman"/>
          <w:color w:val="000000" w:themeColor="text1"/>
          <w:lang w:eastAsia="cs-CZ"/>
        </w:rPr>
      </w:pPr>
      <w:r w:rsidRPr="00552417">
        <w:rPr>
          <w:rFonts w:ascii="Times New Roman" w:eastAsia="Times New Roman" w:hAnsi="Times New Roman" w:cs="Times New Roman"/>
          <w:color w:val="000000" w:themeColor="text1"/>
          <w:lang w:eastAsia="cs-CZ"/>
        </w:rPr>
        <w:t xml:space="preserve">Mnoho ošetřovatelských zásahů se provádí bez důkladného hodnocení. To zahrnuje dodržování různých složek intervence, což ztěžuje hodnocení (5, 28, 38). </w:t>
      </w:r>
      <w:proofErr w:type="spellStart"/>
      <w:r w:rsidRPr="00552417">
        <w:rPr>
          <w:rFonts w:ascii="Times New Roman" w:eastAsia="Times New Roman" w:hAnsi="Times New Roman" w:cs="Times New Roman"/>
          <w:color w:val="000000" w:themeColor="text1"/>
          <w:lang w:eastAsia="cs-CZ"/>
        </w:rPr>
        <w:t>Tobiano</w:t>
      </w:r>
      <w:proofErr w:type="spellEnd"/>
      <w:r w:rsidRPr="00552417">
        <w:rPr>
          <w:rFonts w:ascii="Times New Roman" w:eastAsia="Times New Roman" w:hAnsi="Times New Roman" w:cs="Times New Roman"/>
          <w:color w:val="000000" w:themeColor="text1"/>
          <w:lang w:eastAsia="cs-CZ"/>
        </w:rPr>
        <w:t xml:space="preserve"> a kol. ve svém systematickém </w:t>
      </w:r>
      <w:r w:rsidR="002F10FF">
        <w:rPr>
          <w:rFonts w:ascii="Times New Roman" w:eastAsia="Times New Roman" w:hAnsi="Times New Roman" w:cs="Times New Roman"/>
          <w:color w:val="000000" w:themeColor="text1"/>
          <w:lang w:eastAsia="cs-CZ"/>
        </w:rPr>
        <w:t>zkoumání</w:t>
      </w:r>
      <w:r w:rsidRPr="00552417">
        <w:rPr>
          <w:rFonts w:ascii="Times New Roman" w:eastAsia="Times New Roman" w:hAnsi="Times New Roman" w:cs="Times New Roman"/>
          <w:color w:val="000000" w:themeColor="text1"/>
          <w:lang w:eastAsia="cs-CZ"/>
        </w:rPr>
        <w:t xml:space="preserve"> (39) dospívají k závěru, že pro lepší pochopení souvisejících procesů je důležité hodnotit projekty na zlepšení kvality v</w:t>
      </w:r>
      <w:r>
        <w:rPr>
          <w:rFonts w:ascii="Times New Roman" w:eastAsia="Times New Roman" w:hAnsi="Times New Roman" w:cs="Times New Roman"/>
          <w:color w:val="000000" w:themeColor="text1"/>
          <w:lang w:eastAsia="cs-CZ"/>
        </w:rPr>
        <w:t> hlášení u lůžka pacienta</w:t>
      </w:r>
      <w:r w:rsidRPr="00552417">
        <w:rPr>
          <w:rFonts w:ascii="Times New Roman" w:eastAsia="Times New Roman" w:hAnsi="Times New Roman" w:cs="Times New Roman"/>
          <w:color w:val="000000" w:themeColor="text1"/>
          <w:lang w:eastAsia="cs-CZ"/>
        </w:rPr>
        <w:t>. Toto hodnocení nám pomohlo lépe porozumět procesům spojeným s PCH, jejich silným a slabým stránkám</w:t>
      </w:r>
      <w:r w:rsidR="002F10FF">
        <w:rPr>
          <w:rFonts w:ascii="Times New Roman" w:eastAsia="Times New Roman" w:hAnsi="Times New Roman" w:cs="Times New Roman"/>
          <w:color w:val="000000" w:themeColor="text1"/>
          <w:lang w:eastAsia="cs-CZ"/>
        </w:rPr>
        <w:t>,</w:t>
      </w:r>
      <w:r w:rsidRPr="00552417">
        <w:rPr>
          <w:rFonts w:ascii="Times New Roman" w:eastAsia="Times New Roman" w:hAnsi="Times New Roman" w:cs="Times New Roman"/>
          <w:color w:val="000000" w:themeColor="text1"/>
          <w:lang w:eastAsia="cs-CZ"/>
        </w:rPr>
        <w:t xml:space="preserve"> poskytlo nám důležité znalosti o tom, jak zlepšit kvalitu předání </w:t>
      </w:r>
      <w:r>
        <w:rPr>
          <w:rFonts w:ascii="Times New Roman" w:eastAsia="Times New Roman" w:hAnsi="Times New Roman" w:cs="Times New Roman"/>
          <w:color w:val="000000" w:themeColor="text1"/>
          <w:lang w:eastAsia="cs-CZ"/>
        </w:rPr>
        <w:t>služby</w:t>
      </w:r>
      <w:r w:rsidRPr="00552417">
        <w:rPr>
          <w:rFonts w:ascii="Times New Roman" w:eastAsia="Times New Roman" w:hAnsi="Times New Roman" w:cs="Times New Roman"/>
          <w:color w:val="000000" w:themeColor="text1"/>
          <w:lang w:eastAsia="cs-CZ"/>
        </w:rPr>
        <w:t>.</w:t>
      </w:r>
    </w:p>
    <w:p w14:paraId="587ABE7A" w14:textId="6EA55E52" w:rsidR="00871369" w:rsidRDefault="00871369" w:rsidP="00552417">
      <w:pPr>
        <w:ind w:firstLine="708"/>
        <w:rPr>
          <w:rFonts w:ascii="Times New Roman" w:hAnsi="Times New Roman" w:cs="Times New Roman"/>
          <w:color w:val="000000"/>
        </w:rPr>
      </w:pPr>
      <w:r w:rsidRPr="00871369">
        <w:rPr>
          <w:rFonts w:ascii="Times New Roman" w:eastAsia="Times New Roman" w:hAnsi="Times New Roman" w:cs="Times New Roman"/>
          <w:color w:val="000000" w:themeColor="text1"/>
          <w:lang w:eastAsia="cs-CZ"/>
        </w:rPr>
        <w:t xml:space="preserve">Vedení oddělení a ošetřovatelský tým se shodli na plánu, že studii využijí k zjištění, zda zdravotníci dodržují předpisy daného oddělení. </w:t>
      </w:r>
      <w:proofErr w:type="spellStart"/>
      <w:r w:rsidRPr="00871369">
        <w:rPr>
          <w:rFonts w:ascii="Times New Roman" w:hAnsi="Times New Roman" w:cs="Times New Roman"/>
          <w:color w:val="000000"/>
        </w:rPr>
        <w:t>Scheidenhelm</w:t>
      </w:r>
      <w:proofErr w:type="spellEnd"/>
      <w:r w:rsidRPr="00871369">
        <w:rPr>
          <w:rFonts w:ascii="Times New Roman" w:hAnsi="Times New Roman" w:cs="Times New Roman"/>
          <w:color w:val="000000"/>
        </w:rPr>
        <w:t xml:space="preserve"> a </w:t>
      </w:r>
      <w:proofErr w:type="spellStart"/>
      <w:r w:rsidRPr="00871369">
        <w:rPr>
          <w:rFonts w:ascii="Times New Roman" w:hAnsi="Times New Roman" w:cs="Times New Roman"/>
          <w:color w:val="000000"/>
        </w:rPr>
        <w:t>Reitz</w:t>
      </w:r>
      <w:proofErr w:type="spellEnd"/>
      <w:r w:rsidRPr="00871369">
        <w:rPr>
          <w:rFonts w:ascii="Times New Roman" w:hAnsi="Times New Roman" w:cs="Times New Roman"/>
          <w:color w:val="000000"/>
        </w:rPr>
        <w:t xml:space="preserve"> (40) také zjistili, že ošetřovatelský tým zřídka dodržuje předání pacienta u jeho lůžka. Po jejich analýze SWOT (silné stránky, slab</w:t>
      </w:r>
      <w:r>
        <w:rPr>
          <w:rFonts w:ascii="Times New Roman" w:hAnsi="Times New Roman" w:cs="Times New Roman"/>
          <w:color w:val="000000"/>
        </w:rPr>
        <w:t>é stánky</w:t>
      </w:r>
      <w:r w:rsidRPr="00871369">
        <w:rPr>
          <w:rFonts w:ascii="Times New Roman" w:hAnsi="Times New Roman" w:cs="Times New Roman"/>
          <w:color w:val="000000"/>
        </w:rPr>
        <w:t>, příležitosti a hrozby) a po změně strategie</w:t>
      </w:r>
      <w:r w:rsidR="002F10FF">
        <w:rPr>
          <w:rFonts w:ascii="Times New Roman" w:hAnsi="Times New Roman" w:cs="Times New Roman"/>
          <w:color w:val="000000"/>
        </w:rPr>
        <w:t>,</w:t>
      </w:r>
      <w:r w:rsidRPr="00871369">
        <w:rPr>
          <w:rFonts w:ascii="Times New Roman" w:hAnsi="Times New Roman" w:cs="Times New Roman"/>
          <w:color w:val="000000"/>
        </w:rPr>
        <w:t xml:space="preserve"> byly znovu zaveden</w:t>
      </w:r>
      <w:r w:rsidR="002F10FF">
        <w:rPr>
          <w:rFonts w:ascii="Times New Roman" w:hAnsi="Times New Roman" w:cs="Times New Roman"/>
          <w:color w:val="000000"/>
        </w:rPr>
        <w:t>o</w:t>
      </w:r>
      <w:r w:rsidRPr="00871369">
        <w:rPr>
          <w:rFonts w:ascii="Times New Roman" w:hAnsi="Times New Roman" w:cs="Times New Roman"/>
          <w:color w:val="000000"/>
        </w:rPr>
        <w:t xml:space="preserve"> </w:t>
      </w:r>
      <w:r>
        <w:rPr>
          <w:rFonts w:ascii="Times New Roman" w:hAnsi="Times New Roman" w:cs="Times New Roman"/>
          <w:color w:val="000000"/>
        </w:rPr>
        <w:t>předání pacienta u lůžka</w:t>
      </w:r>
      <w:r w:rsidRPr="00871369">
        <w:rPr>
          <w:rFonts w:ascii="Times New Roman" w:hAnsi="Times New Roman" w:cs="Times New Roman"/>
          <w:color w:val="000000"/>
        </w:rPr>
        <w:t>. Hodnocení (namátková pozorování) vykázala jasná zlepšení s podstatně vyšší mírou</w:t>
      </w:r>
      <w:r w:rsidR="002177BB">
        <w:rPr>
          <w:rFonts w:ascii="Times New Roman" w:hAnsi="Times New Roman" w:cs="Times New Roman"/>
          <w:color w:val="000000"/>
        </w:rPr>
        <w:t xml:space="preserve"> dodržování předpisů</w:t>
      </w:r>
      <w:r w:rsidRPr="00871369">
        <w:rPr>
          <w:rFonts w:ascii="Times New Roman" w:hAnsi="Times New Roman" w:cs="Times New Roman"/>
          <w:color w:val="000000"/>
        </w:rPr>
        <w:t>. Podobný postup byl naplánován pro</w:t>
      </w:r>
      <w:r w:rsidR="002177BB">
        <w:rPr>
          <w:rFonts w:ascii="Times New Roman" w:hAnsi="Times New Roman" w:cs="Times New Roman"/>
          <w:color w:val="000000"/>
        </w:rPr>
        <w:t xml:space="preserve"> další</w:t>
      </w:r>
      <w:r w:rsidRPr="00871369">
        <w:rPr>
          <w:rFonts w:ascii="Times New Roman" w:hAnsi="Times New Roman" w:cs="Times New Roman"/>
          <w:color w:val="000000"/>
        </w:rPr>
        <w:t xml:space="preserve"> oddělení v naší studii.</w:t>
      </w:r>
      <w:r w:rsidR="002177BB">
        <w:rPr>
          <w:rFonts w:ascii="Times New Roman" w:hAnsi="Times New Roman" w:cs="Times New Roman"/>
          <w:color w:val="000000"/>
        </w:rPr>
        <w:t xml:space="preserve"> Výzkum založený na pozorování</w:t>
      </w:r>
      <w:r w:rsidR="002177BB" w:rsidRPr="002177BB">
        <w:rPr>
          <w:rFonts w:ascii="Times New Roman" w:hAnsi="Times New Roman" w:cs="Times New Roman"/>
          <w:color w:val="000000"/>
        </w:rPr>
        <w:t xml:space="preserve"> byl popsán jako možnost zachycení verbální komunikace v klinickém prostředí, například při předávání u lůžka (41). V rámci tohoto projektu byl zaznamenán relativně malý počet ošetřovatelských předání. Předchozí výzkum (42) však ukazuje, že k zachycení rozdílů v klíčových složkách předávacích relací je zapotřebí přibližně 20 epizod. Projekt se omezil na kontrolu toho, zda zdravotní sestry dodržují kontrolní seznam PCH, vyjma informací o výkonnosti, jako je řeč těla, tón hlasu a </w:t>
      </w:r>
      <w:r w:rsidR="002177BB" w:rsidRPr="002177BB">
        <w:rPr>
          <w:rFonts w:ascii="Times New Roman" w:hAnsi="Times New Roman" w:cs="Times New Roman"/>
          <w:color w:val="000000"/>
        </w:rPr>
        <w:lastRenderedPageBreak/>
        <w:t>také zkušenosti.</w:t>
      </w:r>
      <w:r w:rsidR="00382E69">
        <w:rPr>
          <w:rFonts w:ascii="Times New Roman" w:hAnsi="Times New Roman" w:cs="Times New Roman"/>
          <w:color w:val="000000"/>
        </w:rPr>
        <w:t xml:space="preserve"> </w:t>
      </w:r>
      <w:r w:rsidR="00382E69" w:rsidRPr="00382E69">
        <w:rPr>
          <w:rFonts w:ascii="Times New Roman" w:hAnsi="Times New Roman" w:cs="Times New Roman"/>
          <w:color w:val="000000"/>
        </w:rPr>
        <w:t>Údaje o zkušenostech pacientů i sester (43) z PCH byly shromážděny z onkologického oddělení (kde byl PCH původně v</w:t>
      </w:r>
      <w:r w:rsidR="00382E69">
        <w:rPr>
          <w:rFonts w:ascii="Times New Roman" w:hAnsi="Times New Roman" w:cs="Times New Roman"/>
          <w:color w:val="000000"/>
        </w:rPr>
        <w:t>ytvořen)</w:t>
      </w:r>
      <w:r w:rsidR="00382E69" w:rsidRPr="00382E69">
        <w:rPr>
          <w:rFonts w:ascii="Times New Roman" w:hAnsi="Times New Roman" w:cs="Times New Roman"/>
          <w:color w:val="000000"/>
        </w:rPr>
        <w:t>. Pro komplexnější pochopení účinku modelu PCH bude třeba zabývat se oběma těmito hledisky. Protože se jednalo o observační studii, neshromažďovali jsme údaje o kultuře/klimatu pracovního místa. Výzkum ukázal, že kultura na pracovišti může ovlivnit úspěch projektů na zlepšení kvality (44).</w:t>
      </w:r>
    </w:p>
    <w:p w14:paraId="56A2EAD0" w14:textId="59204FB2" w:rsidR="00382E69" w:rsidRDefault="00382E69" w:rsidP="00552417">
      <w:pPr>
        <w:ind w:firstLine="708"/>
        <w:rPr>
          <w:rFonts w:ascii="Times New Roman" w:hAnsi="Times New Roman" w:cs="Times New Roman"/>
          <w:color w:val="000000"/>
        </w:rPr>
      </w:pPr>
      <w:r>
        <w:rPr>
          <w:rFonts w:ascii="Times New Roman" w:hAnsi="Times New Roman" w:cs="Times New Roman"/>
          <w:color w:val="000000"/>
        </w:rPr>
        <w:tab/>
      </w:r>
      <w:r w:rsidRPr="00382E69">
        <w:rPr>
          <w:rFonts w:ascii="Times New Roman" w:hAnsi="Times New Roman" w:cs="Times New Roman"/>
          <w:color w:val="000000"/>
        </w:rPr>
        <w:t>Pozorování v klinickém prostředí lze vnímat jako rušivější ve srovnání například s dotazníky. Navíc hrozí, že sledované osoby, v tomto projektu zdravotní sestry, změní své chování jen proto, že vědí, že jsou sledovány. Pozorování však mohou zachytit činnosti a komunikační dovednosti, které by jinak bylo obtížné zachytit pomocí jiných typů sběru údajů, které jsou citlivější na společenskou potřebnost (vlastní zprávy). To může být důvodem, proč se pozorování často používají pro měření ukazatelů kvality péče. V tomto projektu byl pozorovatel obeznámen s prostředím, postupem PCH a personálem. Domníváme se, že tyto okolnosti přispěly k tomu, že pozorování byla vnímána jako méně ohrožující, než kdyby byla provedena vnějším pozorovatelem.</w:t>
      </w:r>
    </w:p>
    <w:p w14:paraId="78E16224" w14:textId="16D45708" w:rsidR="00382E69" w:rsidRDefault="00382E69" w:rsidP="00552417">
      <w:pPr>
        <w:ind w:firstLine="708"/>
        <w:rPr>
          <w:rFonts w:ascii="Times New Roman" w:eastAsia="Times New Roman" w:hAnsi="Times New Roman" w:cs="Times New Roman"/>
          <w:color w:val="000000" w:themeColor="text1"/>
          <w:lang w:eastAsia="cs-CZ"/>
        </w:rPr>
      </w:pPr>
      <w:r w:rsidRPr="00382E69">
        <w:rPr>
          <w:rFonts w:ascii="Times New Roman" w:eastAsia="Times New Roman" w:hAnsi="Times New Roman" w:cs="Times New Roman"/>
          <w:color w:val="000000" w:themeColor="text1"/>
          <w:lang w:eastAsia="cs-CZ"/>
        </w:rPr>
        <w:t>Abychom zajistili co nejvyšší spolehlivost, použili jsme strukturovaný protokol o sledování, který pokrývá všechny komponenty PCH. Pozorovatelkou byla odborná sestra s předchozí zkušeností s použitím modelu PCH. Byla vyškolena k provádění pozorování</w:t>
      </w:r>
      <w:r w:rsidR="002F10FF">
        <w:rPr>
          <w:rFonts w:ascii="Times New Roman" w:eastAsia="Times New Roman" w:hAnsi="Times New Roman" w:cs="Times New Roman"/>
          <w:color w:val="000000" w:themeColor="text1"/>
          <w:lang w:eastAsia="cs-CZ"/>
        </w:rPr>
        <w:t xml:space="preserve"> s</w:t>
      </w:r>
      <w:r w:rsidRPr="00382E69">
        <w:rPr>
          <w:rFonts w:ascii="Times New Roman" w:eastAsia="Times New Roman" w:hAnsi="Times New Roman" w:cs="Times New Roman"/>
          <w:color w:val="000000" w:themeColor="text1"/>
          <w:lang w:eastAsia="cs-CZ"/>
        </w:rPr>
        <w:t xml:space="preserve"> </w:t>
      </w:r>
      <w:proofErr w:type="spellStart"/>
      <w:r w:rsidRPr="00382E69">
        <w:rPr>
          <w:rFonts w:ascii="Times New Roman" w:eastAsia="Times New Roman" w:hAnsi="Times New Roman" w:cs="Times New Roman"/>
          <w:color w:val="000000" w:themeColor="text1"/>
          <w:lang w:eastAsia="cs-CZ"/>
        </w:rPr>
        <w:t>dvěm</w:t>
      </w:r>
      <w:r w:rsidR="002F10FF">
        <w:rPr>
          <w:rFonts w:ascii="Times New Roman" w:eastAsia="Times New Roman" w:hAnsi="Times New Roman" w:cs="Times New Roman"/>
          <w:color w:val="000000" w:themeColor="text1"/>
          <w:lang w:eastAsia="cs-CZ"/>
        </w:rPr>
        <w:t>i</w:t>
      </w:r>
      <w:proofErr w:type="spellEnd"/>
      <w:r w:rsidRPr="00382E69">
        <w:rPr>
          <w:rFonts w:ascii="Times New Roman" w:eastAsia="Times New Roman" w:hAnsi="Times New Roman" w:cs="Times New Roman"/>
          <w:color w:val="000000" w:themeColor="text1"/>
          <w:lang w:eastAsia="cs-CZ"/>
        </w:rPr>
        <w:t xml:space="preserve"> zkušenými výzkumn</w:t>
      </w:r>
      <w:r>
        <w:rPr>
          <w:rFonts w:ascii="Times New Roman" w:eastAsia="Times New Roman" w:hAnsi="Times New Roman" w:cs="Times New Roman"/>
          <w:color w:val="000000" w:themeColor="text1"/>
          <w:lang w:eastAsia="cs-CZ"/>
        </w:rPr>
        <w:t>íky v ošetřovatelství</w:t>
      </w:r>
      <w:r w:rsidRPr="00382E69">
        <w:rPr>
          <w:rFonts w:ascii="Times New Roman" w:eastAsia="Times New Roman" w:hAnsi="Times New Roman" w:cs="Times New Roman"/>
          <w:color w:val="000000" w:themeColor="text1"/>
          <w:lang w:eastAsia="cs-CZ"/>
        </w:rPr>
        <w:t>. Všechny sestry na obou odděleních byly alespoň jednou pozorovány a pozorování byla prováděna v náhodně zvolených dnech, aby se zohlednily rozdíly ve skladbě personálu a v pracovním vytížení.</w:t>
      </w:r>
    </w:p>
    <w:p w14:paraId="2ADDA0B2" w14:textId="136A88C2" w:rsidR="00382E69" w:rsidRDefault="00382E69" w:rsidP="00552417">
      <w:pPr>
        <w:ind w:firstLine="708"/>
        <w:rPr>
          <w:rFonts w:ascii="Times New Roman" w:eastAsia="Times New Roman" w:hAnsi="Times New Roman" w:cs="Times New Roman"/>
          <w:color w:val="000000" w:themeColor="text1"/>
          <w:lang w:eastAsia="cs-CZ"/>
        </w:rPr>
      </w:pPr>
    </w:p>
    <w:p w14:paraId="790D47E0" w14:textId="5A62F5D0" w:rsidR="00382E69" w:rsidRPr="00C306DC" w:rsidRDefault="00382E69" w:rsidP="00552417">
      <w:pPr>
        <w:ind w:firstLine="708"/>
        <w:rPr>
          <w:rFonts w:ascii="Times New Roman" w:eastAsia="Times New Roman" w:hAnsi="Times New Roman" w:cs="Times New Roman"/>
          <w:b/>
          <w:bCs/>
          <w:color w:val="000000" w:themeColor="text1"/>
          <w:lang w:eastAsia="cs-CZ"/>
        </w:rPr>
      </w:pPr>
      <w:r w:rsidRPr="00C306DC">
        <w:rPr>
          <w:rFonts w:ascii="Times New Roman" w:eastAsia="Times New Roman" w:hAnsi="Times New Roman" w:cs="Times New Roman"/>
          <w:b/>
          <w:bCs/>
          <w:color w:val="000000" w:themeColor="text1"/>
          <w:lang w:eastAsia="cs-CZ"/>
        </w:rPr>
        <w:t xml:space="preserve">Závěr </w:t>
      </w:r>
    </w:p>
    <w:p w14:paraId="6C362886" w14:textId="13F8365D" w:rsidR="00871369" w:rsidRPr="00382E69" w:rsidRDefault="00382E69" w:rsidP="00382E69">
      <w:pPr>
        <w:ind w:firstLine="708"/>
        <w:rPr>
          <w:rFonts w:ascii="Times New Roman" w:eastAsia="Times New Roman" w:hAnsi="Times New Roman" w:cs="Times New Roman"/>
          <w:color w:val="000000" w:themeColor="text1"/>
          <w:lang w:eastAsia="cs-CZ"/>
        </w:rPr>
      </w:pPr>
      <w:r w:rsidRPr="00382E69">
        <w:rPr>
          <w:rFonts w:ascii="Times New Roman" w:eastAsia="Times New Roman" w:hAnsi="Times New Roman" w:cs="Times New Roman"/>
          <w:color w:val="000000" w:themeColor="text1"/>
          <w:lang w:eastAsia="cs-CZ"/>
        </w:rPr>
        <w:t xml:space="preserve">Toto hodnocení (provedené krátce po zavedení PCH) ukazuje, že dodržování kontrolního seznamu pro předání </w:t>
      </w:r>
      <w:r>
        <w:rPr>
          <w:rFonts w:ascii="Times New Roman" w:eastAsia="Times New Roman" w:hAnsi="Times New Roman" w:cs="Times New Roman"/>
          <w:color w:val="000000" w:themeColor="text1"/>
          <w:lang w:eastAsia="cs-CZ"/>
        </w:rPr>
        <w:t>sestrami</w:t>
      </w:r>
      <w:r w:rsidRPr="00382E69">
        <w:rPr>
          <w:rFonts w:ascii="Times New Roman" w:eastAsia="Times New Roman" w:hAnsi="Times New Roman" w:cs="Times New Roman"/>
          <w:color w:val="000000" w:themeColor="text1"/>
          <w:lang w:eastAsia="cs-CZ"/>
        </w:rPr>
        <w:t xml:space="preserve"> vyžaduje zlepšení a zdůrazňuje potřebu většího zaměření na úkoly zaměřené na komunikaci během předávání. Větší pozornost je třeba věnovat osobní výměně informací mezi pacienty a ošetřujícím personálem. Použití kontrolního seznamu PCH přispívá ke standardizovanějšímu a komplexnějšímu postupu předání, v němž sestry motivují pacienty i jejich blízké k aktivní roli.</w:t>
      </w:r>
    </w:p>
    <w:p w14:paraId="65DDD7D6" w14:textId="77777777" w:rsidR="00C306DC" w:rsidRDefault="00382E69" w:rsidP="00C306DC">
      <w:pPr>
        <w:pStyle w:val="Normlnweb"/>
        <w:ind w:firstLine="708"/>
        <w:jc w:val="both"/>
        <w:rPr>
          <w:b/>
          <w:bCs/>
          <w:color w:val="000000"/>
        </w:rPr>
      </w:pPr>
      <w:r w:rsidRPr="00C306DC">
        <w:rPr>
          <w:b/>
          <w:bCs/>
          <w:color w:val="000000"/>
        </w:rPr>
        <w:t>Poděkování</w:t>
      </w:r>
    </w:p>
    <w:p w14:paraId="24F9CCBC" w14:textId="4D3ADA84" w:rsidR="00871369" w:rsidRPr="00C306DC" w:rsidRDefault="00382E69" w:rsidP="00C306DC">
      <w:pPr>
        <w:pStyle w:val="Normlnweb"/>
        <w:ind w:firstLine="708"/>
        <w:jc w:val="both"/>
        <w:rPr>
          <w:b/>
          <w:bCs/>
          <w:color w:val="000000"/>
        </w:rPr>
      </w:pPr>
      <w:r w:rsidRPr="00382E69">
        <w:rPr>
          <w:color w:val="000000"/>
        </w:rPr>
        <w:t>Rádi bychom poděkovali všem pacientům a pracovníkům zapojeným do této studie. Zejména bychom chtěli poděkovat Camill</w:t>
      </w:r>
      <w:r>
        <w:rPr>
          <w:color w:val="000000"/>
        </w:rPr>
        <w:t>a</w:t>
      </w:r>
      <w:r w:rsidRPr="00382E69">
        <w:rPr>
          <w:color w:val="000000"/>
        </w:rPr>
        <w:t xml:space="preserve"> </w:t>
      </w:r>
      <w:proofErr w:type="spellStart"/>
      <w:r w:rsidRPr="00382E69">
        <w:rPr>
          <w:color w:val="000000"/>
        </w:rPr>
        <w:t>Hultberg</w:t>
      </w:r>
      <w:proofErr w:type="spellEnd"/>
      <w:r w:rsidRPr="00382E69">
        <w:rPr>
          <w:color w:val="000000"/>
        </w:rPr>
        <w:t>, v</w:t>
      </w:r>
      <w:r>
        <w:rPr>
          <w:color w:val="000000"/>
        </w:rPr>
        <w:t>rchní sestře</w:t>
      </w:r>
      <w:r w:rsidRPr="00382E69">
        <w:rPr>
          <w:color w:val="000000"/>
        </w:rPr>
        <w:t>, za její podporu a pozitivní přístup během projektu.</w:t>
      </w:r>
    </w:p>
    <w:sectPr w:rsidR="00871369" w:rsidRPr="00C306DC" w:rsidSect="008422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53"/>
    <w:rsid w:val="000D4B7B"/>
    <w:rsid w:val="000F40CE"/>
    <w:rsid w:val="001545D9"/>
    <w:rsid w:val="002177BB"/>
    <w:rsid w:val="002775A4"/>
    <w:rsid w:val="002E3B3B"/>
    <w:rsid w:val="002F10FF"/>
    <w:rsid w:val="00355FD9"/>
    <w:rsid w:val="00382E69"/>
    <w:rsid w:val="003D2367"/>
    <w:rsid w:val="00414F2B"/>
    <w:rsid w:val="00441837"/>
    <w:rsid w:val="004A30D1"/>
    <w:rsid w:val="00502201"/>
    <w:rsid w:val="00552417"/>
    <w:rsid w:val="006417F1"/>
    <w:rsid w:val="00645C84"/>
    <w:rsid w:val="006A4F79"/>
    <w:rsid w:val="00713C3E"/>
    <w:rsid w:val="00756BE5"/>
    <w:rsid w:val="007F0B00"/>
    <w:rsid w:val="008422A8"/>
    <w:rsid w:val="00871369"/>
    <w:rsid w:val="008A6281"/>
    <w:rsid w:val="008C64A9"/>
    <w:rsid w:val="008D373D"/>
    <w:rsid w:val="0097797D"/>
    <w:rsid w:val="00A84B6B"/>
    <w:rsid w:val="00A950D5"/>
    <w:rsid w:val="00B869B6"/>
    <w:rsid w:val="00B952E5"/>
    <w:rsid w:val="00BB1C15"/>
    <w:rsid w:val="00BC377C"/>
    <w:rsid w:val="00BF1F6C"/>
    <w:rsid w:val="00C306DC"/>
    <w:rsid w:val="00CD0EF1"/>
    <w:rsid w:val="00CE1B07"/>
    <w:rsid w:val="00D44073"/>
    <w:rsid w:val="00D56205"/>
    <w:rsid w:val="00D60F82"/>
    <w:rsid w:val="00E36B53"/>
    <w:rsid w:val="00E44C7D"/>
    <w:rsid w:val="00ED2FB7"/>
    <w:rsid w:val="00F43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5951ED6"/>
  <w15:chartTrackingRefBased/>
  <w15:docId w15:val="{3335B3DE-2A94-1C4C-8E14-3ADB247A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BB1C15"/>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36B53"/>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E36B53"/>
  </w:style>
  <w:style w:type="character" w:customStyle="1" w:styleId="Nadpis2Char">
    <w:name w:val="Nadpis 2 Char"/>
    <w:basedOn w:val="Standardnpsmoodstavce"/>
    <w:link w:val="Nadpis2"/>
    <w:uiPriority w:val="9"/>
    <w:rsid w:val="00BB1C15"/>
    <w:rPr>
      <w:rFonts w:ascii="Times New Roman" w:eastAsia="Times New Roman" w:hAnsi="Times New Roman" w:cs="Times New Roman"/>
      <w:b/>
      <w:bCs/>
      <w:sz w:val="36"/>
      <w:szCs w:val="36"/>
      <w:lang w:eastAsia="cs-CZ"/>
    </w:rPr>
  </w:style>
  <w:style w:type="character" w:customStyle="1" w:styleId="jlqj4b">
    <w:name w:val="jlqj4b"/>
    <w:basedOn w:val="Standardnpsmoodstavce"/>
    <w:rsid w:val="00BB1C15"/>
  </w:style>
  <w:style w:type="character" w:customStyle="1" w:styleId="viiyi">
    <w:name w:val="viiyi"/>
    <w:basedOn w:val="Standardnpsmoodstavce"/>
    <w:rsid w:val="00D44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8719">
      <w:bodyDiv w:val="1"/>
      <w:marLeft w:val="0"/>
      <w:marRight w:val="0"/>
      <w:marTop w:val="0"/>
      <w:marBottom w:val="0"/>
      <w:divBdr>
        <w:top w:val="none" w:sz="0" w:space="0" w:color="auto"/>
        <w:left w:val="none" w:sz="0" w:space="0" w:color="auto"/>
        <w:bottom w:val="none" w:sz="0" w:space="0" w:color="auto"/>
        <w:right w:val="none" w:sz="0" w:space="0" w:color="auto"/>
      </w:divBdr>
    </w:div>
    <w:div w:id="25638153">
      <w:bodyDiv w:val="1"/>
      <w:marLeft w:val="0"/>
      <w:marRight w:val="0"/>
      <w:marTop w:val="0"/>
      <w:marBottom w:val="0"/>
      <w:divBdr>
        <w:top w:val="none" w:sz="0" w:space="0" w:color="auto"/>
        <w:left w:val="none" w:sz="0" w:space="0" w:color="auto"/>
        <w:bottom w:val="none" w:sz="0" w:space="0" w:color="auto"/>
        <w:right w:val="none" w:sz="0" w:space="0" w:color="auto"/>
      </w:divBdr>
      <w:divsChild>
        <w:div w:id="2073847431">
          <w:marLeft w:val="0"/>
          <w:marRight w:val="0"/>
          <w:marTop w:val="0"/>
          <w:marBottom w:val="0"/>
          <w:divBdr>
            <w:top w:val="none" w:sz="0" w:space="0" w:color="auto"/>
            <w:left w:val="none" w:sz="0" w:space="0" w:color="auto"/>
            <w:bottom w:val="none" w:sz="0" w:space="0" w:color="auto"/>
            <w:right w:val="none" w:sz="0" w:space="0" w:color="auto"/>
          </w:divBdr>
          <w:divsChild>
            <w:div w:id="1280644701">
              <w:marLeft w:val="0"/>
              <w:marRight w:val="0"/>
              <w:marTop w:val="0"/>
              <w:marBottom w:val="0"/>
              <w:divBdr>
                <w:top w:val="none" w:sz="0" w:space="0" w:color="auto"/>
                <w:left w:val="none" w:sz="0" w:space="0" w:color="auto"/>
                <w:bottom w:val="none" w:sz="0" w:space="0" w:color="auto"/>
                <w:right w:val="none" w:sz="0" w:space="0" w:color="auto"/>
              </w:divBdr>
              <w:divsChild>
                <w:div w:id="4054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8234">
      <w:bodyDiv w:val="1"/>
      <w:marLeft w:val="0"/>
      <w:marRight w:val="0"/>
      <w:marTop w:val="0"/>
      <w:marBottom w:val="0"/>
      <w:divBdr>
        <w:top w:val="none" w:sz="0" w:space="0" w:color="auto"/>
        <w:left w:val="none" w:sz="0" w:space="0" w:color="auto"/>
        <w:bottom w:val="none" w:sz="0" w:space="0" w:color="auto"/>
        <w:right w:val="none" w:sz="0" w:space="0" w:color="auto"/>
      </w:divBdr>
    </w:div>
    <w:div w:id="219755456">
      <w:bodyDiv w:val="1"/>
      <w:marLeft w:val="0"/>
      <w:marRight w:val="0"/>
      <w:marTop w:val="0"/>
      <w:marBottom w:val="0"/>
      <w:divBdr>
        <w:top w:val="none" w:sz="0" w:space="0" w:color="auto"/>
        <w:left w:val="none" w:sz="0" w:space="0" w:color="auto"/>
        <w:bottom w:val="none" w:sz="0" w:space="0" w:color="auto"/>
        <w:right w:val="none" w:sz="0" w:space="0" w:color="auto"/>
      </w:divBdr>
    </w:div>
    <w:div w:id="344593820">
      <w:bodyDiv w:val="1"/>
      <w:marLeft w:val="0"/>
      <w:marRight w:val="0"/>
      <w:marTop w:val="0"/>
      <w:marBottom w:val="0"/>
      <w:divBdr>
        <w:top w:val="none" w:sz="0" w:space="0" w:color="auto"/>
        <w:left w:val="none" w:sz="0" w:space="0" w:color="auto"/>
        <w:bottom w:val="none" w:sz="0" w:space="0" w:color="auto"/>
        <w:right w:val="none" w:sz="0" w:space="0" w:color="auto"/>
      </w:divBdr>
    </w:div>
    <w:div w:id="387917256">
      <w:bodyDiv w:val="1"/>
      <w:marLeft w:val="0"/>
      <w:marRight w:val="0"/>
      <w:marTop w:val="0"/>
      <w:marBottom w:val="0"/>
      <w:divBdr>
        <w:top w:val="none" w:sz="0" w:space="0" w:color="auto"/>
        <w:left w:val="none" w:sz="0" w:space="0" w:color="auto"/>
        <w:bottom w:val="none" w:sz="0" w:space="0" w:color="auto"/>
        <w:right w:val="none" w:sz="0" w:space="0" w:color="auto"/>
      </w:divBdr>
    </w:div>
    <w:div w:id="410393970">
      <w:bodyDiv w:val="1"/>
      <w:marLeft w:val="0"/>
      <w:marRight w:val="0"/>
      <w:marTop w:val="0"/>
      <w:marBottom w:val="0"/>
      <w:divBdr>
        <w:top w:val="none" w:sz="0" w:space="0" w:color="auto"/>
        <w:left w:val="none" w:sz="0" w:space="0" w:color="auto"/>
        <w:bottom w:val="none" w:sz="0" w:space="0" w:color="auto"/>
        <w:right w:val="none" w:sz="0" w:space="0" w:color="auto"/>
      </w:divBdr>
      <w:divsChild>
        <w:div w:id="460879404">
          <w:marLeft w:val="0"/>
          <w:marRight w:val="0"/>
          <w:marTop w:val="0"/>
          <w:marBottom w:val="0"/>
          <w:divBdr>
            <w:top w:val="none" w:sz="0" w:space="0" w:color="auto"/>
            <w:left w:val="none" w:sz="0" w:space="0" w:color="auto"/>
            <w:bottom w:val="none" w:sz="0" w:space="0" w:color="auto"/>
            <w:right w:val="none" w:sz="0" w:space="0" w:color="auto"/>
          </w:divBdr>
          <w:divsChild>
            <w:div w:id="969554358">
              <w:marLeft w:val="0"/>
              <w:marRight w:val="0"/>
              <w:marTop w:val="0"/>
              <w:marBottom w:val="0"/>
              <w:divBdr>
                <w:top w:val="none" w:sz="0" w:space="0" w:color="auto"/>
                <w:left w:val="none" w:sz="0" w:space="0" w:color="auto"/>
                <w:bottom w:val="none" w:sz="0" w:space="0" w:color="auto"/>
                <w:right w:val="none" w:sz="0" w:space="0" w:color="auto"/>
              </w:divBdr>
              <w:divsChild>
                <w:div w:id="12082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55161">
      <w:bodyDiv w:val="1"/>
      <w:marLeft w:val="0"/>
      <w:marRight w:val="0"/>
      <w:marTop w:val="0"/>
      <w:marBottom w:val="0"/>
      <w:divBdr>
        <w:top w:val="none" w:sz="0" w:space="0" w:color="auto"/>
        <w:left w:val="none" w:sz="0" w:space="0" w:color="auto"/>
        <w:bottom w:val="none" w:sz="0" w:space="0" w:color="auto"/>
        <w:right w:val="none" w:sz="0" w:space="0" w:color="auto"/>
      </w:divBdr>
      <w:divsChild>
        <w:div w:id="109126966">
          <w:marLeft w:val="0"/>
          <w:marRight w:val="0"/>
          <w:marTop w:val="0"/>
          <w:marBottom w:val="45"/>
          <w:divBdr>
            <w:top w:val="none" w:sz="0" w:space="0" w:color="auto"/>
            <w:left w:val="none" w:sz="0" w:space="0" w:color="auto"/>
            <w:bottom w:val="none" w:sz="0" w:space="0" w:color="auto"/>
            <w:right w:val="none" w:sz="0" w:space="0" w:color="auto"/>
          </w:divBdr>
          <w:divsChild>
            <w:div w:id="521089647">
              <w:marLeft w:val="0"/>
              <w:marRight w:val="0"/>
              <w:marTop w:val="0"/>
              <w:marBottom w:val="0"/>
              <w:divBdr>
                <w:top w:val="none" w:sz="0" w:space="0" w:color="auto"/>
                <w:left w:val="none" w:sz="0" w:space="0" w:color="auto"/>
                <w:bottom w:val="none" w:sz="0" w:space="0" w:color="auto"/>
                <w:right w:val="none" w:sz="0" w:space="0" w:color="auto"/>
              </w:divBdr>
            </w:div>
            <w:div w:id="1556349519">
              <w:marLeft w:val="0"/>
              <w:marRight w:val="0"/>
              <w:marTop w:val="0"/>
              <w:marBottom w:val="0"/>
              <w:divBdr>
                <w:top w:val="none" w:sz="0" w:space="0" w:color="auto"/>
                <w:left w:val="none" w:sz="0" w:space="0" w:color="auto"/>
                <w:bottom w:val="none" w:sz="0" w:space="0" w:color="auto"/>
                <w:right w:val="none" w:sz="0" w:space="0" w:color="auto"/>
              </w:divBdr>
            </w:div>
          </w:divsChild>
        </w:div>
        <w:div w:id="1569729493">
          <w:marLeft w:val="0"/>
          <w:marRight w:val="0"/>
          <w:marTop w:val="0"/>
          <w:marBottom w:val="0"/>
          <w:divBdr>
            <w:top w:val="single" w:sz="6" w:space="0" w:color="B2B2B2"/>
            <w:left w:val="single" w:sz="6" w:space="0" w:color="B2B2B2"/>
            <w:bottom w:val="single" w:sz="6" w:space="0" w:color="B2B2B2"/>
            <w:right w:val="single" w:sz="6" w:space="0" w:color="B2B2B2"/>
          </w:divBdr>
          <w:divsChild>
            <w:div w:id="7752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382">
      <w:bodyDiv w:val="1"/>
      <w:marLeft w:val="0"/>
      <w:marRight w:val="0"/>
      <w:marTop w:val="0"/>
      <w:marBottom w:val="0"/>
      <w:divBdr>
        <w:top w:val="none" w:sz="0" w:space="0" w:color="auto"/>
        <w:left w:val="none" w:sz="0" w:space="0" w:color="auto"/>
        <w:bottom w:val="none" w:sz="0" w:space="0" w:color="auto"/>
        <w:right w:val="none" w:sz="0" w:space="0" w:color="auto"/>
      </w:divBdr>
    </w:div>
    <w:div w:id="513572402">
      <w:bodyDiv w:val="1"/>
      <w:marLeft w:val="0"/>
      <w:marRight w:val="0"/>
      <w:marTop w:val="0"/>
      <w:marBottom w:val="0"/>
      <w:divBdr>
        <w:top w:val="none" w:sz="0" w:space="0" w:color="auto"/>
        <w:left w:val="none" w:sz="0" w:space="0" w:color="auto"/>
        <w:bottom w:val="none" w:sz="0" w:space="0" w:color="auto"/>
        <w:right w:val="none" w:sz="0" w:space="0" w:color="auto"/>
      </w:divBdr>
    </w:div>
    <w:div w:id="606735696">
      <w:bodyDiv w:val="1"/>
      <w:marLeft w:val="0"/>
      <w:marRight w:val="0"/>
      <w:marTop w:val="0"/>
      <w:marBottom w:val="0"/>
      <w:divBdr>
        <w:top w:val="none" w:sz="0" w:space="0" w:color="auto"/>
        <w:left w:val="none" w:sz="0" w:space="0" w:color="auto"/>
        <w:bottom w:val="none" w:sz="0" w:space="0" w:color="auto"/>
        <w:right w:val="none" w:sz="0" w:space="0" w:color="auto"/>
      </w:divBdr>
    </w:div>
    <w:div w:id="648095847">
      <w:bodyDiv w:val="1"/>
      <w:marLeft w:val="0"/>
      <w:marRight w:val="0"/>
      <w:marTop w:val="0"/>
      <w:marBottom w:val="0"/>
      <w:divBdr>
        <w:top w:val="none" w:sz="0" w:space="0" w:color="auto"/>
        <w:left w:val="none" w:sz="0" w:space="0" w:color="auto"/>
        <w:bottom w:val="none" w:sz="0" w:space="0" w:color="auto"/>
        <w:right w:val="none" w:sz="0" w:space="0" w:color="auto"/>
      </w:divBdr>
    </w:div>
    <w:div w:id="786894304">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1069570116">
      <w:bodyDiv w:val="1"/>
      <w:marLeft w:val="0"/>
      <w:marRight w:val="0"/>
      <w:marTop w:val="0"/>
      <w:marBottom w:val="0"/>
      <w:divBdr>
        <w:top w:val="none" w:sz="0" w:space="0" w:color="auto"/>
        <w:left w:val="none" w:sz="0" w:space="0" w:color="auto"/>
        <w:bottom w:val="none" w:sz="0" w:space="0" w:color="auto"/>
        <w:right w:val="none" w:sz="0" w:space="0" w:color="auto"/>
      </w:divBdr>
    </w:div>
    <w:div w:id="1132331076">
      <w:bodyDiv w:val="1"/>
      <w:marLeft w:val="0"/>
      <w:marRight w:val="0"/>
      <w:marTop w:val="0"/>
      <w:marBottom w:val="0"/>
      <w:divBdr>
        <w:top w:val="none" w:sz="0" w:space="0" w:color="auto"/>
        <w:left w:val="none" w:sz="0" w:space="0" w:color="auto"/>
        <w:bottom w:val="none" w:sz="0" w:space="0" w:color="auto"/>
        <w:right w:val="none" w:sz="0" w:space="0" w:color="auto"/>
      </w:divBdr>
    </w:div>
    <w:div w:id="1155339148">
      <w:bodyDiv w:val="1"/>
      <w:marLeft w:val="0"/>
      <w:marRight w:val="0"/>
      <w:marTop w:val="0"/>
      <w:marBottom w:val="0"/>
      <w:divBdr>
        <w:top w:val="none" w:sz="0" w:space="0" w:color="auto"/>
        <w:left w:val="none" w:sz="0" w:space="0" w:color="auto"/>
        <w:bottom w:val="none" w:sz="0" w:space="0" w:color="auto"/>
        <w:right w:val="none" w:sz="0" w:space="0" w:color="auto"/>
      </w:divBdr>
      <w:divsChild>
        <w:div w:id="1638953302">
          <w:marLeft w:val="0"/>
          <w:marRight w:val="0"/>
          <w:marTop w:val="60"/>
          <w:marBottom w:val="0"/>
          <w:divBdr>
            <w:top w:val="none" w:sz="0" w:space="0" w:color="auto"/>
            <w:left w:val="none" w:sz="0" w:space="0" w:color="auto"/>
            <w:bottom w:val="none" w:sz="0" w:space="0" w:color="auto"/>
            <w:right w:val="none" w:sz="0" w:space="0" w:color="auto"/>
          </w:divBdr>
        </w:div>
        <w:div w:id="1635286874">
          <w:marLeft w:val="0"/>
          <w:marRight w:val="0"/>
          <w:marTop w:val="0"/>
          <w:marBottom w:val="0"/>
          <w:divBdr>
            <w:top w:val="none" w:sz="0" w:space="0" w:color="auto"/>
            <w:left w:val="none" w:sz="0" w:space="0" w:color="auto"/>
            <w:bottom w:val="none" w:sz="0" w:space="0" w:color="auto"/>
            <w:right w:val="none" w:sz="0" w:space="0" w:color="auto"/>
          </w:divBdr>
          <w:divsChild>
            <w:div w:id="1042483760">
              <w:marLeft w:val="0"/>
              <w:marRight w:val="0"/>
              <w:marTop w:val="0"/>
              <w:marBottom w:val="0"/>
              <w:divBdr>
                <w:top w:val="none" w:sz="0" w:space="0" w:color="auto"/>
                <w:left w:val="none" w:sz="0" w:space="0" w:color="auto"/>
                <w:bottom w:val="none" w:sz="0" w:space="0" w:color="auto"/>
                <w:right w:val="none" w:sz="0" w:space="0" w:color="auto"/>
              </w:divBdr>
              <w:divsChild>
                <w:div w:id="464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1727">
      <w:bodyDiv w:val="1"/>
      <w:marLeft w:val="0"/>
      <w:marRight w:val="0"/>
      <w:marTop w:val="0"/>
      <w:marBottom w:val="0"/>
      <w:divBdr>
        <w:top w:val="none" w:sz="0" w:space="0" w:color="auto"/>
        <w:left w:val="none" w:sz="0" w:space="0" w:color="auto"/>
        <w:bottom w:val="none" w:sz="0" w:space="0" w:color="auto"/>
        <w:right w:val="none" w:sz="0" w:space="0" w:color="auto"/>
      </w:divBdr>
    </w:div>
    <w:div w:id="1278105213">
      <w:bodyDiv w:val="1"/>
      <w:marLeft w:val="0"/>
      <w:marRight w:val="0"/>
      <w:marTop w:val="0"/>
      <w:marBottom w:val="0"/>
      <w:divBdr>
        <w:top w:val="none" w:sz="0" w:space="0" w:color="auto"/>
        <w:left w:val="none" w:sz="0" w:space="0" w:color="auto"/>
        <w:bottom w:val="none" w:sz="0" w:space="0" w:color="auto"/>
        <w:right w:val="none" w:sz="0" w:space="0" w:color="auto"/>
      </w:divBdr>
    </w:div>
    <w:div w:id="1307972864">
      <w:bodyDiv w:val="1"/>
      <w:marLeft w:val="0"/>
      <w:marRight w:val="0"/>
      <w:marTop w:val="0"/>
      <w:marBottom w:val="0"/>
      <w:divBdr>
        <w:top w:val="none" w:sz="0" w:space="0" w:color="auto"/>
        <w:left w:val="none" w:sz="0" w:space="0" w:color="auto"/>
        <w:bottom w:val="none" w:sz="0" w:space="0" w:color="auto"/>
        <w:right w:val="none" w:sz="0" w:space="0" w:color="auto"/>
      </w:divBdr>
    </w:div>
    <w:div w:id="1315184605">
      <w:bodyDiv w:val="1"/>
      <w:marLeft w:val="0"/>
      <w:marRight w:val="0"/>
      <w:marTop w:val="0"/>
      <w:marBottom w:val="0"/>
      <w:divBdr>
        <w:top w:val="none" w:sz="0" w:space="0" w:color="auto"/>
        <w:left w:val="none" w:sz="0" w:space="0" w:color="auto"/>
        <w:bottom w:val="none" w:sz="0" w:space="0" w:color="auto"/>
        <w:right w:val="none" w:sz="0" w:space="0" w:color="auto"/>
      </w:divBdr>
    </w:div>
    <w:div w:id="1365671051">
      <w:bodyDiv w:val="1"/>
      <w:marLeft w:val="0"/>
      <w:marRight w:val="0"/>
      <w:marTop w:val="0"/>
      <w:marBottom w:val="0"/>
      <w:divBdr>
        <w:top w:val="none" w:sz="0" w:space="0" w:color="auto"/>
        <w:left w:val="none" w:sz="0" w:space="0" w:color="auto"/>
        <w:bottom w:val="none" w:sz="0" w:space="0" w:color="auto"/>
        <w:right w:val="none" w:sz="0" w:space="0" w:color="auto"/>
      </w:divBdr>
      <w:divsChild>
        <w:div w:id="860630512">
          <w:marLeft w:val="0"/>
          <w:marRight w:val="0"/>
          <w:marTop w:val="60"/>
          <w:marBottom w:val="0"/>
          <w:divBdr>
            <w:top w:val="none" w:sz="0" w:space="0" w:color="auto"/>
            <w:left w:val="none" w:sz="0" w:space="0" w:color="auto"/>
            <w:bottom w:val="none" w:sz="0" w:space="0" w:color="auto"/>
            <w:right w:val="none" w:sz="0" w:space="0" w:color="auto"/>
          </w:divBdr>
        </w:div>
        <w:div w:id="323628184">
          <w:marLeft w:val="0"/>
          <w:marRight w:val="0"/>
          <w:marTop w:val="0"/>
          <w:marBottom w:val="0"/>
          <w:divBdr>
            <w:top w:val="none" w:sz="0" w:space="0" w:color="auto"/>
            <w:left w:val="none" w:sz="0" w:space="0" w:color="auto"/>
            <w:bottom w:val="none" w:sz="0" w:space="0" w:color="auto"/>
            <w:right w:val="none" w:sz="0" w:space="0" w:color="auto"/>
          </w:divBdr>
          <w:divsChild>
            <w:div w:id="1158571389">
              <w:marLeft w:val="0"/>
              <w:marRight w:val="0"/>
              <w:marTop w:val="0"/>
              <w:marBottom w:val="0"/>
              <w:divBdr>
                <w:top w:val="none" w:sz="0" w:space="0" w:color="auto"/>
                <w:left w:val="none" w:sz="0" w:space="0" w:color="auto"/>
                <w:bottom w:val="none" w:sz="0" w:space="0" w:color="auto"/>
                <w:right w:val="none" w:sz="0" w:space="0" w:color="auto"/>
              </w:divBdr>
              <w:divsChild>
                <w:div w:id="18080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6568">
      <w:bodyDiv w:val="1"/>
      <w:marLeft w:val="0"/>
      <w:marRight w:val="0"/>
      <w:marTop w:val="0"/>
      <w:marBottom w:val="0"/>
      <w:divBdr>
        <w:top w:val="none" w:sz="0" w:space="0" w:color="auto"/>
        <w:left w:val="none" w:sz="0" w:space="0" w:color="auto"/>
        <w:bottom w:val="none" w:sz="0" w:space="0" w:color="auto"/>
        <w:right w:val="none" w:sz="0" w:space="0" w:color="auto"/>
      </w:divBdr>
    </w:div>
    <w:div w:id="1525099087">
      <w:bodyDiv w:val="1"/>
      <w:marLeft w:val="0"/>
      <w:marRight w:val="0"/>
      <w:marTop w:val="0"/>
      <w:marBottom w:val="0"/>
      <w:divBdr>
        <w:top w:val="none" w:sz="0" w:space="0" w:color="auto"/>
        <w:left w:val="none" w:sz="0" w:space="0" w:color="auto"/>
        <w:bottom w:val="none" w:sz="0" w:space="0" w:color="auto"/>
        <w:right w:val="none" w:sz="0" w:space="0" w:color="auto"/>
      </w:divBdr>
    </w:div>
    <w:div w:id="1564024202">
      <w:bodyDiv w:val="1"/>
      <w:marLeft w:val="0"/>
      <w:marRight w:val="0"/>
      <w:marTop w:val="0"/>
      <w:marBottom w:val="0"/>
      <w:divBdr>
        <w:top w:val="none" w:sz="0" w:space="0" w:color="auto"/>
        <w:left w:val="none" w:sz="0" w:space="0" w:color="auto"/>
        <w:bottom w:val="none" w:sz="0" w:space="0" w:color="auto"/>
        <w:right w:val="none" w:sz="0" w:space="0" w:color="auto"/>
      </w:divBdr>
      <w:divsChild>
        <w:div w:id="1258560584">
          <w:marLeft w:val="0"/>
          <w:marRight w:val="0"/>
          <w:marTop w:val="0"/>
          <w:marBottom w:val="45"/>
          <w:divBdr>
            <w:top w:val="none" w:sz="0" w:space="0" w:color="auto"/>
            <w:left w:val="none" w:sz="0" w:space="0" w:color="auto"/>
            <w:bottom w:val="none" w:sz="0" w:space="0" w:color="auto"/>
            <w:right w:val="none" w:sz="0" w:space="0" w:color="auto"/>
          </w:divBdr>
          <w:divsChild>
            <w:div w:id="1317801429">
              <w:marLeft w:val="0"/>
              <w:marRight w:val="0"/>
              <w:marTop w:val="0"/>
              <w:marBottom w:val="0"/>
              <w:divBdr>
                <w:top w:val="none" w:sz="0" w:space="0" w:color="auto"/>
                <w:left w:val="none" w:sz="0" w:space="0" w:color="auto"/>
                <w:bottom w:val="none" w:sz="0" w:space="0" w:color="auto"/>
                <w:right w:val="none" w:sz="0" w:space="0" w:color="auto"/>
              </w:divBdr>
            </w:div>
            <w:div w:id="638263490">
              <w:marLeft w:val="0"/>
              <w:marRight w:val="0"/>
              <w:marTop w:val="0"/>
              <w:marBottom w:val="0"/>
              <w:divBdr>
                <w:top w:val="none" w:sz="0" w:space="0" w:color="auto"/>
                <w:left w:val="none" w:sz="0" w:space="0" w:color="auto"/>
                <w:bottom w:val="none" w:sz="0" w:space="0" w:color="auto"/>
                <w:right w:val="none" w:sz="0" w:space="0" w:color="auto"/>
              </w:divBdr>
            </w:div>
          </w:divsChild>
        </w:div>
        <w:div w:id="64883505">
          <w:marLeft w:val="0"/>
          <w:marRight w:val="0"/>
          <w:marTop w:val="0"/>
          <w:marBottom w:val="0"/>
          <w:divBdr>
            <w:top w:val="single" w:sz="6" w:space="0" w:color="B2B2B2"/>
            <w:left w:val="single" w:sz="6" w:space="0" w:color="B2B2B2"/>
            <w:bottom w:val="single" w:sz="6" w:space="0" w:color="B2B2B2"/>
            <w:right w:val="single" w:sz="6" w:space="0" w:color="B2B2B2"/>
          </w:divBdr>
          <w:divsChild>
            <w:div w:id="1313562574">
              <w:marLeft w:val="0"/>
              <w:marRight w:val="0"/>
              <w:marTop w:val="0"/>
              <w:marBottom w:val="0"/>
              <w:divBdr>
                <w:top w:val="none" w:sz="0" w:space="0" w:color="auto"/>
                <w:left w:val="none" w:sz="0" w:space="0" w:color="auto"/>
                <w:bottom w:val="none" w:sz="0" w:space="0" w:color="auto"/>
                <w:right w:val="none" w:sz="0" w:space="0" w:color="auto"/>
              </w:divBdr>
              <w:divsChild>
                <w:div w:id="1480225929">
                  <w:marLeft w:val="0"/>
                  <w:marRight w:val="0"/>
                  <w:marTop w:val="0"/>
                  <w:marBottom w:val="0"/>
                  <w:divBdr>
                    <w:top w:val="none" w:sz="0" w:space="0" w:color="auto"/>
                    <w:left w:val="none" w:sz="0" w:space="0" w:color="auto"/>
                    <w:bottom w:val="none" w:sz="0" w:space="0" w:color="auto"/>
                    <w:right w:val="none" w:sz="0" w:space="0" w:color="auto"/>
                  </w:divBdr>
                  <w:divsChild>
                    <w:div w:id="1298606252">
                      <w:marLeft w:val="0"/>
                      <w:marRight w:val="0"/>
                      <w:marTop w:val="0"/>
                      <w:marBottom w:val="0"/>
                      <w:divBdr>
                        <w:top w:val="none" w:sz="0" w:space="0" w:color="auto"/>
                        <w:left w:val="none" w:sz="0" w:space="0" w:color="auto"/>
                        <w:bottom w:val="none" w:sz="0" w:space="0" w:color="auto"/>
                        <w:right w:val="none" w:sz="0" w:space="0" w:color="auto"/>
                      </w:divBdr>
                      <w:divsChild>
                        <w:div w:id="4291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932970">
      <w:bodyDiv w:val="1"/>
      <w:marLeft w:val="0"/>
      <w:marRight w:val="0"/>
      <w:marTop w:val="0"/>
      <w:marBottom w:val="0"/>
      <w:divBdr>
        <w:top w:val="none" w:sz="0" w:space="0" w:color="auto"/>
        <w:left w:val="none" w:sz="0" w:space="0" w:color="auto"/>
        <w:bottom w:val="none" w:sz="0" w:space="0" w:color="auto"/>
        <w:right w:val="none" w:sz="0" w:space="0" w:color="auto"/>
      </w:divBdr>
    </w:div>
    <w:div w:id="1716393759">
      <w:bodyDiv w:val="1"/>
      <w:marLeft w:val="0"/>
      <w:marRight w:val="0"/>
      <w:marTop w:val="0"/>
      <w:marBottom w:val="0"/>
      <w:divBdr>
        <w:top w:val="none" w:sz="0" w:space="0" w:color="auto"/>
        <w:left w:val="none" w:sz="0" w:space="0" w:color="auto"/>
        <w:bottom w:val="none" w:sz="0" w:space="0" w:color="auto"/>
        <w:right w:val="none" w:sz="0" w:space="0" w:color="auto"/>
      </w:divBdr>
    </w:div>
    <w:div w:id="1784617426">
      <w:bodyDiv w:val="1"/>
      <w:marLeft w:val="0"/>
      <w:marRight w:val="0"/>
      <w:marTop w:val="0"/>
      <w:marBottom w:val="0"/>
      <w:divBdr>
        <w:top w:val="none" w:sz="0" w:space="0" w:color="auto"/>
        <w:left w:val="none" w:sz="0" w:space="0" w:color="auto"/>
        <w:bottom w:val="none" w:sz="0" w:space="0" w:color="auto"/>
        <w:right w:val="none" w:sz="0" w:space="0" w:color="auto"/>
      </w:divBdr>
    </w:div>
    <w:div w:id="1797721305">
      <w:bodyDiv w:val="1"/>
      <w:marLeft w:val="0"/>
      <w:marRight w:val="0"/>
      <w:marTop w:val="0"/>
      <w:marBottom w:val="0"/>
      <w:divBdr>
        <w:top w:val="none" w:sz="0" w:space="0" w:color="auto"/>
        <w:left w:val="none" w:sz="0" w:space="0" w:color="auto"/>
        <w:bottom w:val="none" w:sz="0" w:space="0" w:color="auto"/>
        <w:right w:val="none" w:sz="0" w:space="0" w:color="auto"/>
      </w:divBdr>
    </w:div>
    <w:div w:id="1805272284">
      <w:bodyDiv w:val="1"/>
      <w:marLeft w:val="0"/>
      <w:marRight w:val="0"/>
      <w:marTop w:val="0"/>
      <w:marBottom w:val="0"/>
      <w:divBdr>
        <w:top w:val="none" w:sz="0" w:space="0" w:color="auto"/>
        <w:left w:val="none" w:sz="0" w:space="0" w:color="auto"/>
        <w:bottom w:val="none" w:sz="0" w:space="0" w:color="auto"/>
        <w:right w:val="none" w:sz="0" w:space="0" w:color="auto"/>
      </w:divBdr>
    </w:div>
    <w:div w:id="1859345741">
      <w:bodyDiv w:val="1"/>
      <w:marLeft w:val="0"/>
      <w:marRight w:val="0"/>
      <w:marTop w:val="0"/>
      <w:marBottom w:val="0"/>
      <w:divBdr>
        <w:top w:val="none" w:sz="0" w:space="0" w:color="auto"/>
        <w:left w:val="none" w:sz="0" w:space="0" w:color="auto"/>
        <w:bottom w:val="none" w:sz="0" w:space="0" w:color="auto"/>
        <w:right w:val="none" w:sz="0" w:space="0" w:color="auto"/>
      </w:divBdr>
    </w:div>
    <w:div w:id="1906839871">
      <w:bodyDiv w:val="1"/>
      <w:marLeft w:val="0"/>
      <w:marRight w:val="0"/>
      <w:marTop w:val="0"/>
      <w:marBottom w:val="0"/>
      <w:divBdr>
        <w:top w:val="none" w:sz="0" w:space="0" w:color="auto"/>
        <w:left w:val="none" w:sz="0" w:space="0" w:color="auto"/>
        <w:bottom w:val="none" w:sz="0" w:space="0" w:color="auto"/>
        <w:right w:val="none" w:sz="0" w:space="0" w:color="auto"/>
      </w:divBdr>
    </w:div>
    <w:div w:id="1932858165">
      <w:bodyDiv w:val="1"/>
      <w:marLeft w:val="0"/>
      <w:marRight w:val="0"/>
      <w:marTop w:val="0"/>
      <w:marBottom w:val="0"/>
      <w:divBdr>
        <w:top w:val="none" w:sz="0" w:space="0" w:color="auto"/>
        <w:left w:val="none" w:sz="0" w:space="0" w:color="auto"/>
        <w:bottom w:val="none" w:sz="0" w:space="0" w:color="auto"/>
        <w:right w:val="none" w:sz="0" w:space="0" w:color="auto"/>
      </w:divBdr>
    </w:div>
    <w:div w:id="1961186456">
      <w:bodyDiv w:val="1"/>
      <w:marLeft w:val="0"/>
      <w:marRight w:val="0"/>
      <w:marTop w:val="0"/>
      <w:marBottom w:val="0"/>
      <w:divBdr>
        <w:top w:val="none" w:sz="0" w:space="0" w:color="auto"/>
        <w:left w:val="none" w:sz="0" w:space="0" w:color="auto"/>
        <w:bottom w:val="none" w:sz="0" w:space="0" w:color="auto"/>
        <w:right w:val="none" w:sz="0" w:space="0" w:color="auto"/>
      </w:divBdr>
      <w:divsChild>
        <w:div w:id="2064715717">
          <w:marLeft w:val="0"/>
          <w:marRight w:val="0"/>
          <w:marTop w:val="100"/>
          <w:marBottom w:val="0"/>
          <w:divBdr>
            <w:top w:val="none" w:sz="0" w:space="0" w:color="auto"/>
            <w:left w:val="none" w:sz="0" w:space="0" w:color="auto"/>
            <w:bottom w:val="none" w:sz="0" w:space="0" w:color="auto"/>
            <w:right w:val="none" w:sz="0" w:space="0" w:color="auto"/>
          </w:divBdr>
          <w:divsChild>
            <w:div w:id="300548182">
              <w:marLeft w:val="0"/>
              <w:marRight w:val="0"/>
              <w:marTop w:val="60"/>
              <w:marBottom w:val="0"/>
              <w:divBdr>
                <w:top w:val="none" w:sz="0" w:space="0" w:color="auto"/>
                <w:left w:val="none" w:sz="0" w:space="0" w:color="auto"/>
                <w:bottom w:val="none" w:sz="0" w:space="0" w:color="auto"/>
                <w:right w:val="none" w:sz="0" w:space="0" w:color="auto"/>
              </w:divBdr>
            </w:div>
          </w:divsChild>
        </w:div>
        <w:div w:id="916473737">
          <w:marLeft w:val="0"/>
          <w:marRight w:val="0"/>
          <w:marTop w:val="0"/>
          <w:marBottom w:val="0"/>
          <w:divBdr>
            <w:top w:val="none" w:sz="0" w:space="0" w:color="auto"/>
            <w:left w:val="none" w:sz="0" w:space="0" w:color="auto"/>
            <w:bottom w:val="none" w:sz="0" w:space="0" w:color="auto"/>
            <w:right w:val="none" w:sz="0" w:space="0" w:color="auto"/>
          </w:divBdr>
          <w:divsChild>
            <w:div w:id="1439639346">
              <w:marLeft w:val="0"/>
              <w:marRight w:val="0"/>
              <w:marTop w:val="0"/>
              <w:marBottom w:val="0"/>
              <w:divBdr>
                <w:top w:val="none" w:sz="0" w:space="0" w:color="auto"/>
                <w:left w:val="none" w:sz="0" w:space="0" w:color="auto"/>
                <w:bottom w:val="none" w:sz="0" w:space="0" w:color="auto"/>
                <w:right w:val="none" w:sz="0" w:space="0" w:color="auto"/>
              </w:divBdr>
              <w:divsChild>
                <w:div w:id="21201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7</Pages>
  <Words>3668</Words>
  <Characters>21681</Characters>
  <Application>Microsoft Office Word</Application>
  <DocSecurity>0</DocSecurity>
  <Lines>387</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Tlachač</dc:creator>
  <cp:keywords/>
  <dc:description/>
  <cp:lastModifiedBy>Zdeněk Tlachač</cp:lastModifiedBy>
  <cp:revision>9</cp:revision>
  <cp:lastPrinted>2021-02-18T13:33:00Z</cp:lastPrinted>
  <dcterms:created xsi:type="dcterms:W3CDTF">2021-02-04T15:48:00Z</dcterms:created>
  <dcterms:modified xsi:type="dcterms:W3CDTF">2021-02-19T17:25:00Z</dcterms:modified>
</cp:coreProperties>
</file>