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8BD7" w14:textId="733A3B14" w:rsidR="00231BB6" w:rsidRDefault="00231BB6" w:rsidP="00231BB6">
      <w:pPr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underlying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principles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kern w:val="36"/>
          <w:sz w:val="60"/>
          <w:szCs w:val="60"/>
          <w:bdr w:val="none" w:sz="0" w:space="0" w:color="auto" w:frame="1"/>
          <w:lang w:eastAsia="cs-CZ"/>
        </w:rPr>
        <w:t>patients</w:t>
      </w:r>
      <w:proofErr w:type="spellEnd"/>
    </w:p>
    <w:p w14:paraId="1BF96AF3" w14:textId="77777777" w:rsidR="00231BB6" w:rsidRPr="00231BB6" w:rsidRDefault="00231BB6" w:rsidP="00231BB6">
      <w:pPr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60"/>
          <w:szCs w:val="60"/>
          <w:lang w:eastAsia="cs-CZ"/>
        </w:rPr>
      </w:pPr>
    </w:p>
    <w:p w14:paraId="61C19F8E" w14:textId="77777777" w:rsidR="00231BB6" w:rsidRPr="00231BB6" w:rsidRDefault="00231BB6" w:rsidP="00231BB6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444444"/>
          <w:sz w:val="18"/>
          <w:szCs w:val="18"/>
          <w:lang w:eastAsia="cs-CZ"/>
        </w:rPr>
      </w:pPr>
      <w:r w:rsidRPr="00231BB6">
        <w:rPr>
          <w:rFonts w:ascii="Helvetica" w:eastAsia="Times New Roman" w:hAnsi="Helvetica" w:cs="Helvetica"/>
          <w:b/>
          <w:bCs/>
          <w:caps/>
          <w:color w:val="444444"/>
          <w:sz w:val="18"/>
          <w:szCs w:val="18"/>
          <w:bdr w:val="none" w:sz="0" w:space="0" w:color="auto" w:frame="1"/>
          <w:lang w:eastAsia="cs-CZ"/>
        </w:rPr>
        <w:t>25 APRIL, 2019</w:t>
      </w:r>
      <w:r w:rsidRPr="00231BB6">
        <w:rPr>
          <w:rFonts w:ascii="Helvetica" w:eastAsia="Times New Roman" w:hAnsi="Helvetica" w:cs="Helvetica"/>
          <w:b/>
          <w:bCs/>
          <w:caps/>
          <w:color w:val="444444"/>
          <w:sz w:val="18"/>
          <w:szCs w:val="18"/>
          <w:lang w:eastAsia="cs-CZ"/>
        </w:rPr>
        <w:t> </w:t>
      </w:r>
      <w:r w:rsidRPr="00231BB6">
        <w:rPr>
          <w:rFonts w:ascii="Helvetica" w:eastAsia="Times New Roman" w:hAnsi="Helvetica" w:cs="Helvetica"/>
          <w:b/>
          <w:bCs/>
          <w:caps/>
          <w:color w:val="444444"/>
          <w:sz w:val="18"/>
          <w:szCs w:val="18"/>
          <w:bdr w:val="none" w:sz="0" w:space="0" w:color="auto" w:frame="1"/>
          <w:lang w:eastAsia="cs-CZ"/>
        </w:rPr>
        <w:t>BY </w:t>
      </w:r>
      <w:hyperlink r:id="rId5" w:tooltip="Posts by NT Contributor" w:history="1">
        <w:r w:rsidRPr="00231BB6">
          <w:rPr>
            <w:rFonts w:ascii="Helvetica" w:eastAsia="Times New Roman" w:hAnsi="Helvetica" w:cs="Helvetica"/>
            <w:b/>
            <w:bCs/>
            <w:caps/>
            <w:color w:val="00AECA"/>
            <w:sz w:val="18"/>
            <w:szCs w:val="18"/>
            <w:u w:val="single"/>
            <w:bdr w:val="none" w:sz="0" w:space="0" w:color="auto" w:frame="1"/>
            <w:lang w:eastAsia="cs-CZ"/>
          </w:rPr>
          <w:t>NT CONTRIBUTOR</w:t>
        </w:r>
      </w:hyperlink>
    </w:p>
    <w:p w14:paraId="5C12EC5E" w14:textId="77777777" w:rsidR="00231BB6" w:rsidRPr="00231BB6" w:rsidRDefault="00231BB6" w:rsidP="00231BB6">
      <w:pPr>
        <w:spacing w:before="45" w:after="48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Assisting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fundamental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part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care and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provides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an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opportunity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carry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out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holistic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assessment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patient</w:t>
      </w:r>
      <w:proofErr w:type="spellEnd"/>
    </w:p>
    <w:p w14:paraId="5D02AD8F" w14:textId="77777777" w:rsidR="00231BB6" w:rsidRPr="00231BB6" w:rsidRDefault="00231BB6" w:rsidP="00231BB6">
      <w:pPr>
        <w:pBdr>
          <w:bottom w:val="single" w:sz="6" w:space="11" w:color="auto"/>
        </w:pBdr>
        <w:shd w:val="clear" w:color="auto" w:fill="EEEEEE"/>
        <w:spacing w:before="375" w:after="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Abstract</w:t>
      </w:r>
      <w:proofErr w:type="spellEnd"/>
    </w:p>
    <w:p w14:paraId="4AC937DE" w14:textId="77777777" w:rsidR="00231BB6" w:rsidRPr="00231BB6" w:rsidRDefault="00231BB6" w:rsidP="00231BB6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Good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essential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health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but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also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has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important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role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maintaining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self-esteem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quality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life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Supporting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maintain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fundamental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aspect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article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outlines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24710F39" w14:textId="77777777" w:rsidR="00231BB6" w:rsidRPr="00231BB6" w:rsidRDefault="00231BB6" w:rsidP="00231BB6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Citation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:</w:t>
      </w: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Lawton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Shepherd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 (2019)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underlying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principles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 </w:t>
      </w:r>
      <w:proofErr w:type="spellStart"/>
      <w:r w:rsidRPr="00231BB6">
        <w:rPr>
          <w:rFonts w:ascii="Helvetica" w:eastAsia="Times New Roman" w:hAnsi="Helvetica" w:cs="Helvetica"/>
          <w:i/>
          <w:iCs/>
          <w:color w:val="444444"/>
          <w:sz w:val="27"/>
          <w:szCs w:val="27"/>
          <w:bdr w:val="none" w:sz="0" w:space="0" w:color="auto" w:frame="1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i/>
          <w:iCs/>
          <w:color w:val="444444"/>
          <w:sz w:val="27"/>
          <w:szCs w:val="27"/>
          <w:bdr w:val="none" w:sz="0" w:space="0" w:color="auto" w:frame="1"/>
          <w:lang w:eastAsia="cs-CZ"/>
        </w:rPr>
        <w:t xml:space="preserve"> Times</w:t>
      </w: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 [online]; 115: 5, 45-47.</w:t>
      </w:r>
    </w:p>
    <w:p w14:paraId="2061D3CD" w14:textId="77777777" w:rsidR="00231BB6" w:rsidRPr="00231BB6" w:rsidRDefault="00231BB6" w:rsidP="00231BB6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Authors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:</w:t>
      </w: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 Sandra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Lawton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consultant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dermatology,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Rotherham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Foundation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Trust; Eileen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Shepherd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clinical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editor,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Times.</w:t>
      </w:r>
    </w:p>
    <w:p w14:paraId="64072DFF" w14:textId="77777777" w:rsidR="00231BB6" w:rsidRPr="00231BB6" w:rsidRDefault="00231BB6" w:rsidP="00231BB6">
      <w:pPr>
        <w:numPr>
          <w:ilvl w:val="0"/>
          <w:numId w:val="1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article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has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double-blind peer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reviewed</w:t>
      </w:r>
      <w:proofErr w:type="spellEnd"/>
    </w:p>
    <w:p w14:paraId="027C7744" w14:textId="77777777" w:rsidR="00231BB6" w:rsidRPr="00231BB6" w:rsidRDefault="00231BB6" w:rsidP="00231BB6">
      <w:pPr>
        <w:numPr>
          <w:ilvl w:val="0"/>
          <w:numId w:val="1"/>
        </w:numPr>
        <w:shd w:val="clear" w:color="auto" w:fill="EEEEEE"/>
        <w:spacing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Scroll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down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read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article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fldChar w:fldCharType="begin"/>
      </w: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instrText xml:space="preserve"> HYPERLINK "https://www.nursingtimes.net/download?ac=3051428" \t "_blank" </w:instrText>
      </w: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fldChar w:fldCharType="separate"/>
      </w:r>
      <w:r w:rsidRPr="00231BB6">
        <w:rPr>
          <w:rFonts w:ascii="Helvetica" w:eastAsia="Times New Roman" w:hAnsi="Helvetica" w:cs="Helvetica"/>
          <w:color w:val="005C87"/>
          <w:sz w:val="24"/>
          <w:szCs w:val="24"/>
          <w:u w:val="single"/>
          <w:bdr w:val="none" w:sz="0" w:space="0" w:color="auto" w:frame="1"/>
          <w:lang w:eastAsia="cs-CZ"/>
        </w:rPr>
        <w:t>download</w:t>
      </w:r>
      <w:proofErr w:type="spellEnd"/>
      <w:r w:rsidRPr="00231BB6">
        <w:rPr>
          <w:rFonts w:ascii="Helvetica" w:eastAsia="Times New Roman" w:hAnsi="Helvetica" w:cs="Helvetica"/>
          <w:color w:val="005C87"/>
          <w:sz w:val="24"/>
          <w:szCs w:val="24"/>
          <w:u w:val="single"/>
          <w:bdr w:val="none" w:sz="0" w:space="0" w:color="auto" w:frame="1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005C87"/>
          <w:sz w:val="24"/>
          <w:szCs w:val="24"/>
          <w:u w:val="single"/>
          <w:bdr w:val="none" w:sz="0" w:space="0" w:color="auto" w:frame="1"/>
          <w:lang w:eastAsia="cs-CZ"/>
        </w:rPr>
        <w:t>print-friendly</w:t>
      </w:r>
      <w:proofErr w:type="spellEnd"/>
      <w:r w:rsidRPr="00231BB6">
        <w:rPr>
          <w:rFonts w:ascii="Helvetica" w:eastAsia="Times New Roman" w:hAnsi="Helvetica" w:cs="Helvetica"/>
          <w:color w:val="005C87"/>
          <w:sz w:val="24"/>
          <w:szCs w:val="24"/>
          <w:u w:val="single"/>
          <w:bdr w:val="none" w:sz="0" w:space="0" w:color="auto" w:frame="1"/>
          <w:lang w:eastAsia="cs-CZ"/>
        </w:rPr>
        <w:t xml:space="preserve"> PDF </w:t>
      </w:r>
      <w:proofErr w:type="spellStart"/>
      <w:r w:rsidRPr="00231BB6">
        <w:rPr>
          <w:rFonts w:ascii="Helvetica" w:eastAsia="Times New Roman" w:hAnsi="Helvetica" w:cs="Helvetica"/>
          <w:color w:val="005C87"/>
          <w:sz w:val="24"/>
          <w:szCs w:val="24"/>
          <w:u w:val="single"/>
          <w:bdr w:val="none" w:sz="0" w:space="0" w:color="auto" w:frame="1"/>
          <w:lang w:eastAsia="cs-CZ"/>
        </w:rPr>
        <w:t>here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fldChar w:fldCharType="end"/>
      </w: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PDF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fails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fully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download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please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try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again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different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browser)</w:t>
      </w:r>
    </w:p>
    <w:p w14:paraId="7BF82731" w14:textId="77777777" w:rsidR="00231BB6" w:rsidRPr="00231BB6" w:rsidRDefault="00231BB6" w:rsidP="00231BB6">
      <w:pPr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Introduction</w:t>
      </w:r>
      <w:proofErr w:type="spellEnd"/>
    </w:p>
    <w:p w14:paraId="7A048B8B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Supporting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maintain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needs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while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hospital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fundamental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aspect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yet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very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little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evidence to support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practice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Coyer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2011).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includes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:</w:t>
      </w:r>
    </w:p>
    <w:p w14:paraId="1B6A574C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59A3C591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Skin;</w:t>
      </w:r>
    </w:p>
    <w:p w14:paraId="7ADF2609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Nails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5DC329B8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Mouth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eyes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ears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nose;</w:t>
      </w:r>
    </w:p>
    <w:p w14:paraId="23245AD3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lastRenderedPageBreak/>
        <w:t>Perineal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areas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, 2015);</w:t>
      </w:r>
    </w:p>
    <w:p w14:paraId="44BD2878" w14:textId="77777777" w:rsidR="00231BB6" w:rsidRPr="00231BB6" w:rsidRDefault="00231BB6" w:rsidP="00231BB6">
      <w:pPr>
        <w:numPr>
          <w:ilvl w:val="0"/>
          <w:numId w:val="2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Facial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shaving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Ette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Gretton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, 2019).</w:t>
      </w:r>
    </w:p>
    <w:p w14:paraId="27C658F0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skin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considered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entity,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both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potential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impact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on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health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on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’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comfort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wellbeing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7F4EC4C1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Factors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negative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effect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on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health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include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:</w:t>
      </w:r>
    </w:p>
    <w:p w14:paraId="0BDF0A97" w14:textId="77777777" w:rsidR="00231BB6" w:rsidRPr="00231BB6" w:rsidRDefault="00231BB6" w:rsidP="00231BB6">
      <w:pPr>
        <w:numPr>
          <w:ilvl w:val="0"/>
          <w:numId w:val="3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Excessive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particularly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harsh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products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06A5FAAE" w14:textId="77777777" w:rsidR="00231BB6" w:rsidRPr="00231BB6" w:rsidRDefault="00231BB6" w:rsidP="00231BB6">
      <w:pPr>
        <w:numPr>
          <w:ilvl w:val="0"/>
          <w:numId w:val="3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Lack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causing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build-up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potential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pathogens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increasing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infection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risk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Cowdell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et al, 2014).</w:t>
      </w:r>
    </w:p>
    <w:p w14:paraId="288EA50D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Box 1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other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factors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035EB446" w14:textId="77777777" w:rsidR="00231BB6" w:rsidRPr="00231BB6" w:rsidRDefault="00231BB6" w:rsidP="00231BB6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Box 1.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Factors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negatively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affect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health</w:t>
      </w:r>
      <w:proofErr w:type="spellEnd"/>
    </w:p>
    <w:p w14:paraId="63369F05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nutrition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hydration</w:t>
      </w:r>
      <w:proofErr w:type="spellEnd"/>
    </w:p>
    <w:p w14:paraId="417F687F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Advancing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age</w:t>
      </w:r>
      <w:proofErr w:type="spellEnd"/>
    </w:p>
    <w:p w14:paraId="4FD89645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Incontinence</w:t>
      </w:r>
      <w:proofErr w:type="spellEnd"/>
    </w:p>
    <w:p w14:paraId="4309AF81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Medical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interventions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such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radiotherapy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chemotherapy</w:t>
      </w:r>
      <w:proofErr w:type="spellEnd"/>
    </w:p>
    <w:p w14:paraId="659ECAEB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Concurrent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underlying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conditions</w:t>
      </w:r>
      <w:proofErr w:type="spellEnd"/>
    </w:p>
    <w:p w14:paraId="17DB7828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Surgical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interventions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wounds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drains</w:t>
      </w:r>
      <w:proofErr w:type="spellEnd"/>
    </w:p>
    <w:p w14:paraId="599D67C1" w14:textId="77777777" w:rsidR="00231BB6" w:rsidRPr="00231BB6" w:rsidRDefault="00231BB6" w:rsidP="00231BB6">
      <w:pPr>
        <w:numPr>
          <w:ilvl w:val="0"/>
          <w:numId w:val="4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mobility</w:t>
      </w:r>
    </w:p>
    <w:p w14:paraId="06A22D0F" w14:textId="77777777" w:rsidR="00231BB6" w:rsidRPr="00231BB6" w:rsidRDefault="00231BB6" w:rsidP="00231BB6">
      <w:pPr>
        <w:shd w:val="clear" w:color="auto" w:fill="EEEEEE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Source: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(2015)</w:t>
      </w:r>
    </w:p>
    <w:p w14:paraId="16A7590A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Helping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dress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frequently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delegated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junior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staff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but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time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spent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attending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needs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valuable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opportunity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carry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out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holistic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assessment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2015;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Burns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2012). It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also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allows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time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address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concerns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provides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valuable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opportunity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assess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condition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skin.</w:t>
      </w:r>
    </w:p>
    <w:p w14:paraId="2D0F9E24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will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values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practices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relating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which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need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consider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when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planning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example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some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evening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helps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settle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night,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while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others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prefer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shower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morning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also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discuss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religious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cultural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issues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relating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2015).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example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ideally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gram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Muslim</w:t>
      </w:r>
      <w:proofErr w:type="gram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lastRenderedPageBreak/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by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same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gender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Rassool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2015),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Hindus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wish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before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prayer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, 2015).</w:t>
      </w:r>
    </w:p>
    <w:p w14:paraId="4B3285D2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As part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routine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some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urethral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catheter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mouth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denture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footcare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eye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care. These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procedures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not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covered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depth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article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6C44B2B6" w14:textId="77777777" w:rsidR="00231BB6" w:rsidRPr="00231BB6" w:rsidRDefault="00231BB6" w:rsidP="00231BB6">
      <w:pPr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patient</w:t>
      </w:r>
      <w:proofErr w:type="spellEnd"/>
    </w:p>
    <w:p w14:paraId="2288DFC3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not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effective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showering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only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undertaken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when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no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alternative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2015).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important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offer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opportunity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participate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which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helps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maintain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independence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self-esteem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dignity.</w:t>
      </w:r>
    </w:p>
    <w:p w14:paraId="77FD0830" w14:textId="77777777" w:rsidR="00231BB6" w:rsidRPr="00231BB6" w:rsidRDefault="00231BB6" w:rsidP="00231BB6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Selecting</w:t>
      </w:r>
      <w:proofErr w:type="spellEnd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appropriate</w:t>
      </w:r>
      <w:proofErr w:type="spellEnd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equipment</w:t>
      </w:r>
      <w:proofErr w:type="spellEnd"/>
    </w:p>
    <w:p w14:paraId="41301D29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Plastic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bowls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were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routinely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hospitals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but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easily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become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contaminated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micro-organisms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responsible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healthcare-acquired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infections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Marchaim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2012). As such, single-use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bowls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now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commonly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6DDB9452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All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toiletries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supplied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single-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use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items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until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toiletries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brought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into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hospital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1BD5F33F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Soap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alter skin pH,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leading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dryness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breakdown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so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suggested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skin-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cleansing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emollient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creams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Cowdell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2014). These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prescribed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individual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and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spoon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spatula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decant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product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into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pot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prevent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contamination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;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emollients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tubes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pump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containers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reduce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risk. New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supplies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prescribed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following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treatment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infection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Lawton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, 2016).</w:t>
      </w:r>
    </w:p>
    <w:p w14:paraId="79E16943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Reusable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washcloths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avoided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harbour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bacteria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particularly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important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who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immunocompromised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critically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ill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those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whose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skin integrity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compromised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example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burns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, 2015).</w:t>
      </w:r>
    </w:p>
    <w:p w14:paraId="57902414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relatively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new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development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pre-packaged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cloths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commonly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known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),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which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do not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systematic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review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comparing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traditional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lastRenderedPageBreak/>
        <w:t>concluded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‘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’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without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alternative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traditional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although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more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research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Groven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2017).</w:t>
      </w:r>
    </w:p>
    <w:p w14:paraId="4FC4ED1B" w14:textId="77777777" w:rsidR="00231BB6" w:rsidRPr="00231BB6" w:rsidRDefault="00231BB6" w:rsidP="00231BB6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>Glove</w:t>
      </w:r>
      <w:proofErr w:type="spellEnd"/>
      <w:r w:rsidRPr="00231BB6"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  <w:t xml:space="preserve"> use</w:t>
      </w:r>
    </w:p>
    <w:p w14:paraId="50C8F67B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World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Health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Organization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(2009)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stated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non-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sterile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not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routinely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dressing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need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assess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individual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risk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exposure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blood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and body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fluids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Royal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College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2018)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aware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policies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glove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use.</w:t>
      </w:r>
    </w:p>
    <w:p w14:paraId="48A4A613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Evidence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suggests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prefer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wear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provide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intimate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care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Loveday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</w:t>
      </w:r>
      <w:proofErr w:type="gram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2014a</w:t>
      </w:r>
      <w:proofErr w:type="gram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),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example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genitalia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When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must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single-use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disposed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accordance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policy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Loveday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et al, </w:t>
      </w:r>
      <w:proofErr w:type="gram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2014b</w:t>
      </w:r>
      <w:proofErr w:type="gram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).</w:t>
      </w:r>
    </w:p>
    <w:p w14:paraId="6F83F520" w14:textId="77777777" w:rsidR="00231BB6" w:rsidRPr="00231BB6" w:rsidRDefault="00231BB6" w:rsidP="00231BB6">
      <w:pPr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Undertaking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bath</w:t>
      </w:r>
      <w:proofErr w:type="spellEnd"/>
    </w:p>
    <w:p w14:paraId="345FBEBE" w14:textId="77777777" w:rsidR="00231BB6" w:rsidRPr="00231BB6" w:rsidRDefault="00231BB6" w:rsidP="00231BB6">
      <w:pPr>
        <w:spacing w:after="48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Box 2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outlines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general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principles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58254B13" w14:textId="77777777" w:rsidR="00231BB6" w:rsidRPr="00231BB6" w:rsidRDefault="00231BB6" w:rsidP="00231BB6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Box 2. General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principles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bathing</w:t>
      </w:r>
      <w:proofErr w:type="spellEnd"/>
    </w:p>
    <w:p w14:paraId="29BDFFC1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Keep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times</w:t>
      </w:r>
      <w:proofErr w:type="spellEnd"/>
    </w:p>
    <w:p w14:paraId="79095F82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Position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linen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skip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near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linen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immediately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reduce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dispersal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microorganisms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dead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cells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into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environment</w:t>
      </w:r>
    </w:p>
    <w:p w14:paraId="77A1FA9B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Only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expose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1)</w:t>
      </w:r>
    </w:p>
    <w:p w14:paraId="1C17FA3B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Change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becomes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dirty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always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after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genitalia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sacrum</w:t>
      </w:r>
      <w:proofErr w:type="spellEnd"/>
    </w:p>
    <w:p w14:paraId="5EE76EE4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Change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become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soiled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after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genitalia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sacral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area</w:t>
      </w:r>
    </w:p>
    <w:p w14:paraId="6F960947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pressure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damage</w:t>
      </w:r>
      <w:proofErr w:type="spellEnd"/>
    </w:p>
    <w:p w14:paraId="69EECA92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Avoid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contaminating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dressings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drains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</w:p>
    <w:p w14:paraId="08DE44E5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Pat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dry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reduce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risk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friction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damage</w:t>
      </w:r>
      <w:proofErr w:type="spellEnd"/>
    </w:p>
    <w:p w14:paraId="5205B059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Separate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folds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 pat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dry</w:t>
      </w:r>
    </w:p>
    <w:p w14:paraId="3F4B3826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Use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correct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manual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handling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avoid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injury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yourself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</w:p>
    <w:p w14:paraId="43B5E046" w14:textId="77777777" w:rsidR="00231BB6" w:rsidRPr="00231BB6" w:rsidRDefault="00231BB6" w:rsidP="00231BB6">
      <w:pPr>
        <w:numPr>
          <w:ilvl w:val="0"/>
          <w:numId w:val="5"/>
        </w:numPr>
        <w:shd w:val="clear" w:color="auto" w:fill="EEEEEE"/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lastRenderedPageBreak/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unconscious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remember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talk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through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what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;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nurses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not talk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over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</w:p>
    <w:p w14:paraId="2B44AFE0" w14:textId="77777777" w:rsidR="00231BB6" w:rsidRPr="00231BB6" w:rsidRDefault="00231BB6" w:rsidP="00231BB6">
      <w:pPr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needed</w:t>
      </w:r>
      <w:proofErr w:type="spellEnd"/>
    </w:p>
    <w:p w14:paraId="051BFDD8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apron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1DE5F64D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linen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1A26AF9B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Two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towels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592B99A9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78B2C5C1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toiletries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7D596363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Comb/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brush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6946CAEB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oral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denture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care;</w:t>
      </w:r>
    </w:p>
    <w:p w14:paraId="5BE3803F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bowls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;</w:t>
      </w:r>
    </w:p>
    <w:p w14:paraId="41BBD9C9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Linen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skip;</w:t>
      </w:r>
    </w:p>
    <w:p w14:paraId="5E9ED93F" w14:textId="77777777" w:rsidR="00231BB6" w:rsidRPr="00231BB6" w:rsidRDefault="00231BB6" w:rsidP="00231BB6">
      <w:pPr>
        <w:numPr>
          <w:ilvl w:val="0"/>
          <w:numId w:val="6"/>
        </w:numPr>
        <w:spacing w:after="18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Non-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sterile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personal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protective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intimate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care.</w:t>
      </w:r>
    </w:p>
    <w:p w14:paraId="0F012EF1" w14:textId="77777777" w:rsidR="00231BB6" w:rsidRPr="00231BB6" w:rsidRDefault="00231BB6" w:rsidP="00231BB6">
      <w:pPr>
        <w:spacing w:before="375" w:after="150" w:line="240" w:lineRule="atLeast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procedure</w:t>
      </w:r>
      <w:proofErr w:type="spellEnd"/>
    </w:p>
    <w:p w14:paraId="3B7279FD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Review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plan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needs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someone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available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during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31BEBFB8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Decontaminate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DCDC364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Discuss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about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usual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hygiene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routine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informed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consent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59CDD374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whether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has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Administer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analgesia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necessary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has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taken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effect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before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starting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relieve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associated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moving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during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4835FA5B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privacy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environment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draught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free.</w:t>
      </w:r>
    </w:p>
    <w:p w14:paraId="59D26081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whether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wishes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empty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bowel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bladder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before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starting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6CD20D5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lastRenderedPageBreak/>
        <w:t>Assemble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everything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hand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minimise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amount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time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exposed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correct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working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height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367181C4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Decontaminate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put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on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apron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3B8C15BE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Fill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bowl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temperature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comfortable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082AF630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wearing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watch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hearing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aid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glasses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remove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33352F2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Place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towel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under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eyes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according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policy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face,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ears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whether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likes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soap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on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face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gram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1a</w:t>
      </w:r>
      <w:proofErr w:type="gram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).</w:t>
      </w:r>
    </w:p>
    <w:p w14:paraId="13020102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hearing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aids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glasses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worn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and return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facilitate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communication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during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4EED5D34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remove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upper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use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sheet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cover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Only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expose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part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031D6591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Starting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farthest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away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dry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upper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including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arms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axilla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gram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torso</w:t>
      </w:r>
      <w:proofErr w:type="gram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Moving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across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dry by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end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Dougherty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Lister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, 2015)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gram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1b</w:t>
      </w:r>
      <w:proofErr w:type="gram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Always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down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example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axilla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19CE1EB4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like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soak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1c).</w:t>
      </w:r>
    </w:p>
    <w:p w14:paraId="137CAD9F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Remove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lower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body,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dry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legs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feet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starting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leg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farthest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away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working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top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leg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foot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feet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problems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such 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calluses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dry skin.</w:t>
      </w:r>
    </w:p>
    <w:p w14:paraId="311D6928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Change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apply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non-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sterile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before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genitalia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5057E671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appropriate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own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genitalia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consent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continue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Female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front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reduce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risk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urinary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tract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infection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gram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1d</w:t>
      </w:r>
      <w:proofErr w:type="gram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foreskin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uncircumcised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drawn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underneath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57305EC2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–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5B00CEB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lastRenderedPageBreak/>
        <w:t>Decontaminate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bowl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temperature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again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DEC8868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colleague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who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has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decontaminated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put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on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apron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),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roll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onto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side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appropriate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equipment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Assess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gloves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sacrum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Using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cloth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towel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dry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sacral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area,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moving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from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top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bottom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1e).</w:t>
      </w:r>
    </w:p>
    <w:p w14:paraId="7639F37E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Roll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back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both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colleague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decontaminate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283F1067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Change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lower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sheet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according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1664FAFD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get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dressed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3AFD7EE6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Check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fingernails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toenails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offer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nail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required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29F9FFDE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clean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teeth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and/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dentures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assist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mouth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following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6D9B7F8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Comb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brush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Offer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to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help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male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shaving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part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normal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routine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19739A82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Finish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making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warm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comfortable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 call bell and a drink (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allowed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).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their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belongings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within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reach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02FB38FC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Remove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dispose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aprons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decontaminate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hands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7AC5C128" w14:textId="77777777" w:rsidR="00231BB6" w:rsidRPr="00231BB6" w:rsidRDefault="00231BB6" w:rsidP="00231BB6">
      <w:pPr>
        <w:numPr>
          <w:ilvl w:val="0"/>
          <w:numId w:val="7"/>
        </w:numPr>
        <w:spacing w:after="180" w:line="360" w:lineRule="atLeast"/>
        <w:ind w:left="1095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Record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that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has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undertaken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along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abnormal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finding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(s),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ensure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update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care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plan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.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Contact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tissue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viability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specialist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if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you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have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any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concerns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about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patient’s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skin.</w:t>
      </w:r>
    </w:p>
    <w:p w14:paraId="0F9022C8" w14:textId="77D5703A" w:rsidR="00231BB6" w:rsidRDefault="00231BB6" w:rsidP="00231BB6">
      <w:pPr>
        <w:numPr>
          <w:ilvl w:val="0"/>
          <w:numId w:val="8"/>
        </w:numPr>
        <w:spacing w:after="0" w:line="360" w:lineRule="atLeast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  <w:r w:rsidRPr="00231BB6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Professional </w:t>
      </w:r>
      <w:proofErr w:type="spellStart"/>
      <w:r w:rsidRPr="00231BB6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responsibilities</w:t>
      </w:r>
      <w:proofErr w:type="spellEnd"/>
      <w:r w:rsidRPr="00231BB6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– 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This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procedure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should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be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undertaken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only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after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approved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training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supervised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practice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competency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assessment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,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carried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out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in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accordance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with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local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policies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 xml:space="preserve"> and </w:t>
      </w:r>
      <w:proofErr w:type="spellStart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protocols</w:t>
      </w:r>
      <w:proofErr w:type="spellEnd"/>
      <w:r w:rsidRPr="00231BB6"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  <w:t>.</w:t>
      </w:r>
    </w:p>
    <w:p w14:paraId="523F6A6A" w14:textId="77777777" w:rsidR="00231BB6" w:rsidRPr="00231BB6" w:rsidRDefault="00231BB6" w:rsidP="00231BB6">
      <w:pPr>
        <w:spacing w:after="0" w:line="360" w:lineRule="atLeast"/>
        <w:ind w:left="720"/>
        <w:rPr>
          <w:rFonts w:ascii="Helvetica" w:eastAsia="Times New Roman" w:hAnsi="Helvetica" w:cs="Helvetica"/>
          <w:color w:val="444444"/>
          <w:sz w:val="24"/>
          <w:szCs w:val="24"/>
          <w:lang w:eastAsia="cs-CZ"/>
        </w:rPr>
      </w:pPr>
    </w:p>
    <w:p w14:paraId="3F9591E0" w14:textId="65E23C66" w:rsidR="008958AE" w:rsidRDefault="008958AE">
      <w:pPr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cs-CZ"/>
        </w:rPr>
      </w:pPr>
    </w:p>
    <w:p w14:paraId="3333F15E" w14:textId="07F547B4" w:rsidR="00231BB6" w:rsidRDefault="00231BB6">
      <w:pPr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cs-CZ"/>
        </w:rPr>
      </w:pPr>
      <w:r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cs-CZ"/>
        </w:rPr>
        <w:t xml:space="preserve">Zdroj: </w:t>
      </w:r>
      <w:hyperlink r:id="rId6" w:history="1">
        <w:r w:rsidRPr="00AD1E63">
          <w:rPr>
            <w:rStyle w:val="Hypertextovodkaz"/>
            <w:rFonts w:ascii="Helvetica" w:eastAsia="Times New Roman" w:hAnsi="Helvetica" w:cs="Helvetica"/>
            <w:b/>
            <w:bCs/>
            <w:sz w:val="26"/>
            <w:szCs w:val="26"/>
            <w:bdr w:val="none" w:sz="0" w:space="0" w:color="auto" w:frame="1"/>
            <w:lang w:eastAsia="cs-CZ"/>
          </w:rPr>
          <w:t>https://www.nursingtimes.net/roles/hospital-nurses/the-underlying-principles-and-procedure-for-bed-bathing-patients-25-04-2019/</w:t>
        </w:r>
      </w:hyperlink>
    </w:p>
    <w:p w14:paraId="1BF907D4" w14:textId="77777777" w:rsidR="00231BB6" w:rsidRDefault="00231BB6"/>
    <w:sectPr w:rsidR="0023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6B3E"/>
    <w:multiLevelType w:val="multilevel"/>
    <w:tmpl w:val="E1E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C613E"/>
    <w:multiLevelType w:val="multilevel"/>
    <w:tmpl w:val="8B44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56680"/>
    <w:multiLevelType w:val="multilevel"/>
    <w:tmpl w:val="007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00F9E"/>
    <w:multiLevelType w:val="multilevel"/>
    <w:tmpl w:val="A6A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8613D"/>
    <w:multiLevelType w:val="multilevel"/>
    <w:tmpl w:val="782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615DC"/>
    <w:multiLevelType w:val="multilevel"/>
    <w:tmpl w:val="88D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E7A84"/>
    <w:multiLevelType w:val="multilevel"/>
    <w:tmpl w:val="F9E2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0EA8"/>
    <w:multiLevelType w:val="multilevel"/>
    <w:tmpl w:val="ED20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B6"/>
    <w:rsid w:val="00231BB6"/>
    <w:rsid w:val="008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96D"/>
  <w15:chartTrackingRefBased/>
  <w15:docId w15:val="{1AE62386-CF0C-4994-B2C8-97181A4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1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1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31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B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1B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31B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st-meta">
    <w:name w:val="post-meta"/>
    <w:basedOn w:val="Normln"/>
    <w:rsid w:val="002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e-date">
    <w:name w:val="tie-date"/>
    <w:basedOn w:val="Standardnpsmoodstavce"/>
    <w:rsid w:val="00231BB6"/>
  </w:style>
  <w:style w:type="character" w:styleId="Hypertextovodkaz">
    <w:name w:val="Hyperlink"/>
    <w:basedOn w:val="Standardnpsmoodstavce"/>
    <w:uiPriority w:val="99"/>
    <w:unhideWhenUsed/>
    <w:rsid w:val="00231B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1BB6"/>
    <w:rPr>
      <w:b/>
      <w:bCs/>
    </w:rPr>
  </w:style>
  <w:style w:type="character" w:styleId="Zdraznn">
    <w:name w:val="Emphasis"/>
    <w:basedOn w:val="Standardnpsmoodstavce"/>
    <w:uiPriority w:val="20"/>
    <w:qFormat/>
    <w:rsid w:val="00231BB6"/>
    <w:rPr>
      <w:i/>
      <w:iCs/>
    </w:rPr>
  </w:style>
  <w:style w:type="paragraph" w:customStyle="1" w:styleId="picture">
    <w:name w:val="picture"/>
    <w:basedOn w:val="Normln"/>
    <w:rsid w:val="002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source">
    <w:name w:val="inline_source"/>
    <w:basedOn w:val="Normln"/>
    <w:rsid w:val="002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231BB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3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1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2" w:space="0" w:color="00334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814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2" w:space="0" w:color="00334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684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2" w:space="0" w:color="00334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25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singtimes.net/roles/hospital-nurses/the-underlying-principles-and-procedure-for-bed-bathing-patients-25-04-2019/" TargetMode="External"/><Relationship Id="rId5" Type="http://schemas.openxmlformats.org/officeDocument/2006/relationships/hyperlink" Target="https://www.nursingtimes.net/author/nt-contribu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1675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Ptáčník Jakub</dc:creator>
  <cp:keywords/>
  <dc:description/>
  <cp:lastModifiedBy>Ptáčník Jakub</cp:lastModifiedBy>
  <cp:revision>1</cp:revision>
  <dcterms:created xsi:type="dcterms:W3CDTF">2020-11-05T15:57:00Z</dcterms:created>
  <dcterms:modified xsi:type="dcterms:W3CDTF">2020-11-05T16:00:00Z</dcterms:modified>
</cp:coreProperties>
</file>