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5C" w:rsidRPr="00441C5C" w:rsidRDefault="00441C5C" w:rsidP="00441C5C">
      <w:pPr>
        <w:rPr>
          <w:b/>
        </w:rPr>
      </w:pPr>
      <w:bookmarkStart w:id="0" w:name="_GoBack"/>
      <w:r w:rsidRPr="00441C5C">
        <w:rPr>
          <w:b/>
        </w:rPr>
        <w:t>Bezpečnostní studia - APO10119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3548"/>
      </w:tblGrid>
      <w:tr w:rsidR="00441C5C" w:rsidRPr="00441C5C" w:rsidTr="00441C5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94"/>
              <w:gridCol w:w="3130"/>
            </w:tblGrid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End w:id="0"/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Anglický název: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roofErr w:type="spellStart"/>
                  <w:r w:rsidRPr="00441C5C">
                    <w:t>Security</w:t>
                  </w:r>
                  <w:proofErr w:type="spellEnd"/>
                  <w:r w:rsidRPr="00441C5C">
                    <w:t xml:space="preserve"> </w:t>
                  </w:r>
                  <w:proofErr w:type="spellStart"/>
                  <w:r w:rsidRPr="00441C5C">
                    <w:t>Studies</w:t>
                  </w:r>
                  <w:proofErr w:type="spellEnd"/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Zajišťuje: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hyperlink r:id="rId4" w:history="1">
                    <w:r w:rsidRPr="00441C5C">
                      <w:rPr>
                        <w:rStyle w:val="Hypertextovodkaz"/>
                      </w:rPr>
                      <w:t>Ústav politologie (21-UPOL)</w:t>
                    </w:r>
                  </w:hyperlink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Fakulta: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hyperlink r:id="rId5" w:history="1">
                    <w:r w:rsidRPr="00441C5C">
                      <w:rPr>
                        <w:rStyle w:val="Hypertextovodkaz"/>
                      </w:rPr>
                      <w:t>Filozofická fakulta</w:t>
                    </w:r>
                  </w:hyperlink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Platnost: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t>od 2019</w:t>
                  </w:r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Semestr: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t>letní</w:t>
                  </w:r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Body: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t>4</w:t>
                  </w:r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E-Kredity: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t>5</w:t>
                  </w:r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Způsob provedení zkoušky: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t>letní s.:</w:t>
                  </w:r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Rozsah, examinace: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t xml:space="preserve">letní s.:2/0 </w:t>
                  </w:r>
                  <w:proofErr w:type="spellStart"/>
                  <w:r w:rsidRPr="00441C5C">
                    <w:t>Zk</w:t>
                  </w:r>
                  <w:proofErr w:type="spellEnd"/>
                  <w:r w:rsidRPr="00441C5C">
                    <w:t xml:space="preserve"> [hodiny/týden]</w:t>
                  </w:r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Počet míst: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t>neomezen / neurčen (25)</w:t>
                  </w:r>
                  <w:r w:rsidRPr="00441C5C">
                    <w:drawing>
                      <wp:inline distT="0" distB="0" distL="0" distR="0">
                        <wp:extent cx="133350" cy="120650"/>
                        <wp:effectExtent l="0" t="0" r="0" b="0"/>
                        <wp:docPr id="10" name="Obrázek 10" descr="https://is.cuni.cz/studium/img/div_ti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s://is.cuni.cz/studium/img/div_ti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Minimální obsazenost: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t>neomezen</w:t>
                  </w:r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Stav předmětu: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t>vyučován</w:t>
                  </w:r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Jazyk výuky: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t>čeština</w:t>
                  </w:r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Způsob výuky: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t>prezenční</w:t>
                  </w:r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Úroveň: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t> </w:t>
                  </w:r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t>předmět je možno zapsat mimo plán</w:t>
                  </w:r>
                  <w:r w:rsidRPr="00441C5C">
                    <w:br/>
                    <w:t xml:space="preserve">povolen pro zápis po webu </w:t>
                  </w:r>
                </w:p>
              </w:tc>
            </w:tr>
          </w:tbl>
          <w:p w:rsidR="00441C5C" w:rsidRPr="00441C5C" w:rsidRDefault="00441C5C" w:rsidP="00441C5C"/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Ind w:w="22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2383"/>
            </w:tblGrid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Garant: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hyperlink r:id="rId7" w:history="1">
                    <w:r w:rsidRPr="00441C5C">
                      <w:rPr>
                        <w:rStyle w:val="Hypertextovodkaz"/>
                      </w:rPr>
                      <w:t>PhDr. Ondřej Slačálek, Ph.D.</w:t>
                    </w:r>
                  </w:hyperlink>
                </w:p>
              </w:tc>
            </w:tr>
            <w:tr w:rsidR="00441C5C" w:rsidRPr="00441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pPr>
                    <w:rPr>
                      <w:b/>
                      <w:bCs/>
                    </w:rPr>
                  </w:pPr>
                  <w:r w:rsidRPr="00441C5C">
                    <w:rPr>
                      <w:b/>
                      <w:bCs/>
                    </w:rPr>
                    <w:t>Vyučující: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hyperlink r:id="rId8" w:history="1">
                    <w:r w:rsidRPr="00441C5C">
                      <w:rPr>
                        <w:rStyle w:val="Hypertextovodkaz"/>
                      </w:rPr>
                      <w:t>PhDr. Ondřej Slačálek, Ph.D.</w:t>
                    </w:r>
                  </w:hyperlink>
                  <w:r w:rsidRPr="00441C5C">
                    <w:br/>
                  </w:r>
                  <w:hyperlink r:id="rId9" w:history="1">
                    <w:r w:rsidRPr="00441C5C">
                      <w:rPr>
                        <w:rStyle w:val="Hypertextovodkaz"/>
                      </w:rPr>
                      <w:t>Mgr. Václav Walach, Ph.D.</w:t>
                    </w:r>
                  </w:hyperlink>
                </w:p>
              </w:tc>
            </w:tr>
          </w:tbl>
          <w:p w:rsidR="00441C5C" w:rsidRPr="00441C5C" w:rsidRDefault="00441C5C" w:rsidP="00441C5C"/>
        </w:tc>
      </w:tr>
    </w:tbl>
    <w:p w:rsidR="00441C5C" w:rsidRPr="00441C5C" w:rsidRDefault="00441C5C" w:rsidP="00441C5C">
      <w:hyperlink r:id="rId10" w:history="1">
        <w:r w:rsidRPr="00441C5C">
          <w:rPr>
            <w:rStyle w:val="Hypertextovodkaz"/>
          </w:rPr>
          <w:t>Zapsaní studenti</w:t>
        </w:r>
      </w:hyperlink>
      <w:r w:rsidRPr="00441C5C">
        <w:t>   </w:t>
      </w:r>
      <w:hyperlink r:id="rId11" w:history="1">
        <w:r w:rsidRPr="00441C5C">
          <w:rPr>
            <w:rStyle w:val="Hypertextovodkaz"/>
          </w:rPr>
          <w:t>Rozvrh LS</w:t>
        </w:r>
      </w:hyperlink>
      <w:r w:rsidRPr="00441C5C">
        <w:t>   </w:t>
      </w:r>
      <w:hyperlink r:id="rId12" w:history="1">
        <w:r w:rsidRPr="00441C5C">
          <w:rPr>
            <w:rStyle w:val="Hypertextovodkaz"/>
          </w:rPr>
          <w:t>Nástěnka</w:t>
        </w:r>
      </w:hyperlink>
      <w:r w:rsidRPr="00441C5C">
        <w:t>   </w:t>
      </w:r>
    </w:p>
    <w:p w:rsidR="00441C5C" w:rsidRPr="00441C5C" w:rsidRDefault="00441C5C" w:rsidP="00441C5C">
      <w:pPr>
        <w:rPr>
          <w:b/>
          <w:bCs/>
        </w:rPr>
      </w:pPr>
      <w:r w:rsidRPr="00441C5C">
        <w:rPr>
          <w:b/>
          <w:bCs/>
        </w:rPr>
        <w:drawing>
          <wp:inline distT="0" distB="0" distL="0" distR="0">
            <wp:extent cx="114300" cy="114300"/>
            <wp:effectExtent l="0" t="0" r="0" b="0"/>
            <wp:docPr id="9" name="Obrázek 9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Expo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C5C">
        <w:rPr>
          <w:b/>
          <w:bCs/>
        </w:rPr>
        <w:t>Export:</w:t>
      </w:r>
    </w:p>
    <w:p w:rsidR="00441C5C" w:rsidRPr="00441C5C" w:rsidRDefault="00441C5C" w:rsidP="00441C5C">
      <w:pPr>
        <w:rPr>
          <w:vanish/>
        </w:rPr>
      </w:pPr>
      <w:r w:rsidRPr="00441C5C">
        <w:rPr>
          <w:vanish/>
        </w:rPr>
        <w:t>Začátek formuláře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81"/>
      </w:tblGrid>
      <w:tr w:rsidR="00441C5C" w:rsidRPr="00441C5C" w:rsidTr="00441C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C5C" w:rsidRPr="00441C5C" w:rsidRDefault="00441C5C" w:rsidP="00441C5C">
            <w:r w:rsidRPr="00441C5C">
              <w:t>typ:</w:t>
            </w:r>
          </w:p>
        </w:tc>
        <w:tc>
          <w:tcPr>
            <w:tcW w:w="0" w:type="auto"/>
            <w:vAlign w:val="center"/>
            <w:hideMark/>
          </w:tcPr>
          <w:p w:rsidR="00441C5C" w:rsidRPr="00441C5C" w:rsidRDefault="00441C5C" w:rsidP="00441C5C"/>
        </w:tc>
      </w:tr>
    </w:tbl>
    <w:p w:rsidR="00441C5C" w:rsidRPr="00441C5C" w:rsidRDefault="00441C5C" w:rsidP="00441C5C">
      <w:pPr>
        <w:rPr>
          <w:vanish/>
        </w:rPr>
      </w:pPr>
      <w:r w:rsidRPr="00441C5C">
        <w:rPr>
          <w:vanish/>
        </w:rPr>
        <w:t>Konec formuláře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81"/>
      </w:tblGrid>
      <w:tr w:rsidR="00441C5C" w:rsidRPr="00441C5C" w:rsidTr="00441C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C5C" w:rsidRPr="00441C5C" w:rsidRDefault="00441C5C" w:rsidP="00441C5C">
            <w:r w:rsidRPr="00441C5C">
              <w:t>jazyk:</w:t>
            </w:r>
          </w:p>
        </w:tc>
        <w:tc>
          <w:tcPr>
            <w:tcW w:w="0" w:type="auto"/>
            <w:vAlign w:val="center"/>
            <w:hideMark/>
          </w:tcPr>
          <w:p w:rsidR="00441C5C" w:rsidRPr="00441C5C" w:rsidRDefault="00441C5C" w:rsidP="00441C5C"/>
        </w:tc>
      </w:tr>
    </w:tbl>
    <w:p w:rsidR="00441C5C" w:rsidRPr="00441C5C" w:rsidRDefault="00441C5C" w:rsidP="00441C5C">
      <w:pPr>
        <w:rPr>
          <w:vanish/>
        </w:rPr>
      </w:pPr>
    </w:p>
    <w:tbl>
      <w:tblPr>
        <w:tblW w:w="5000" w:type="pct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72"/>
      </w:tblGrid>
      <w:tr w:rsidR="00441C5C" w:rsidRPr="00441C5C" w:rsidTr="00441C5C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5"/>
              <w:gridCol w:w="2327"/>
            </w:tblGrid>
            <w:tr w:rsidR="00441C5C" w:rsidRPr="0044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rPr>
                      <w:b/>
                      <w:bCs/>
                    </w:rPr>
                    <w:t>Anotace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drawing>
                      <wp:inline distT="0" distB="0" distL="0" distR="0">
                        <wp:extent cx="152400" cy="152400"/>
                        <wp:effectExtent l="0" t="0" r="0" b="0"/>
                        <wp:docPr id="8" name="Obrázek 8" descr="upravit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upravit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41C5C" w:rsidRPr="00441C5C" w:rsidRDefault="00441C5C" w:rsidP="00441C5C"/>
        </w:tc>
      </w:tr>
      <w:tr w:rsidR="00441C5C" w:rsidRPr="00441C5C" w:rsidTr="00441C5C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441C5C" w:rsidRPr="00441C5C" w:rsidRDefault="00441C5C" w:rsidP="00441C5C">
            <w:pPr>
              <w:rPr>
                <w:i/>
                <w:iCs/>
              </w:rPr>
            </w:pPr>
            <w:r w:rsidRPr="00441C5C">
              <w:rPr>
                <w:i/>
                <w:iCs/>
              </w:rPr>
              <w:t>Poslední úprava: PhDr. Ondřej Slačálek, Ph.D. (</w:t>
            </w:r>
            <w:proofErr w:type="gramStart"/>
            <w:r w:rsidRPr="00441C5C">
              <w:rPr>
                <w:i/>
                <w:iCs/>
              </w:rPr>
              <w:t>03.02.2021</w:t>
            </w:r>
            <w:proofErr w:type="gramEnd"/>
            <w:r w:rsidRPr="00441C5C">
              <w:rPr>
                <w:i/>
                <w:iCs/>
              </w:rPr>
              <w:t xml:space="preserve">) </w:t>
            </w:r>
          </w:p>
          <w:p w:rsidR="00441C5C" w:rsidRPr="00441C5C" w:rsidRDefault="00441C5C" w:rsidP="00441C5C">
            <w:r w:rsidRPr="00441C5C">
              <w:t xml:space="preserve">Bezpečnostní studia&lt;br&gt; </w:t>
            </w:r>
            <w:r w:rsidRPr="00441C5C">
              <w:br/>
              <w:t xml:space="preserve">&lt;br&gt; </w:t>
            </w:r>
            <w:r w:rsidRPr="00441C5C">
              <w:br/>
              <w:t xml:space="preserve">Vyučující: Ondřej Slačálek, Václav Walach,&lt;br&gt; </w:t>
            </w:r>
            <w:r w:rsidRPr="00441C5C">
              <w:br/>
              <w:t xml:space="preserve">&lt;br&gt; </w:t>
            </w:r>
            <w:r w:rsidRPr="00441C5C">
              <w:br/>
            </w:r>
            <w:r w:rsidRPr="00441C5C">
              <w:lastRenderedPageBreak/>
              <w:t xml:space="preserve">Letní semestr 2020/2021; bakalářské studium&lt;br&gt; </w:t>
            </w:r>
            <w:r w:rsidRPr="00441C5C">
              <w:br/>
              <w:t xml:space="preserve">&lt;br&gt; </w:t>
            </w:r>
            <w:r w:rsidRPr="00441C5C">
              <w:br/>
              <w:t xml:space="preserve">Atestace: zkouška </w:t>
            </w:r>
            <w:r w:rsidRPr="00441C5C">
              <w:br/>
              <w:t xml:space="preserve">&lt;br&gt; </w:t>
            </w:r>
            <w:r w:rsidRPr="00441C5C">
              <w:br/>
              <w:t xml:space="preserve">Základní informace&lt;br&gt; </w:t>
            </w:r>
            <w:r w:rsidRPr="00441C5C">
              <w:br/>
              <w:t xml:space="preserve">&lt;br&gt; </w:t>
            </w:r>
            <w:r w:rsidRPr="00441C5C">
              <w:br/>
              <w:t>Kurz si klade za cíl seznámit studenty a studentky se základy akademického studia bezpečnosti. Jako takový čerpá především z bádání v bezpečnostních studiích a disciplínách, které se rovněž bezpečností zabývají (kriminologie, sociologie, antropologie apod.). Cílem bude představit konceptualizaci bezpečnosti, hlavních přístupech k jejímu výzkumu, jakož i o specifických tématech, které jsou s bezpečností spojovány.</w:t>
            </w:r>
          </w:p>
        </w:tc>
      </w:tr>
    </w:tbl>
    <w:p w:rsidR="00441C5C" w:rsidRPr="00441C5C" w:rsidRDefault="00441C5C" w:rsidP="00441C5C">
      <w:pPr>
        <w:rPr>
          <w:vanish/>
        </w:rPr>
      </w:pPr>
    </w:p>
    <w:tbl>
      <w:tblPr>
        <w:tblW w:w="5000" w:type="pct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72"/>
      </w:tblGrid>
      <w:tr w:rsidR="00441C5C" w:rsidRPr="00441C5C" w:rsidTr="00441C5C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7"/>
              <w:gridCol w:w="815"/>
            </w:tblGrid>
            <w:tr w:rsidR="00441C5C" w:rsidRPr="0044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rPr>
                      <w:b/>
                      <w:bCs/>
                    </w:rPr>
                    <w:t>Podmínky zakončení předmětu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drawing>
                      <wp:inline distT="0" distB="0" distL="0" distR="0">
                        <wp:extent cx="152400" cy="152400"/>
                        <wp:effectExtent l="0" t="0" r="0" b="0"/>
                        <wp:docPr id="7" name="Obrázek 7" descr="upravit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upravit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41C5C" w:rsidRPr="00441C5C" w:rsidRDefault="00441C5C" w:rsidP="00441C5C"/>
        </w:tc>
      </w:tr>
      <w:tr w:rsidR="00441C5C" w:rsidRPr="00441C5C" w:rsidTr="00441C5C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441C5C" w:rsidRPr="00441C5C" w:rsidRDefault="00441C5C" w:rsidP="00441C5C">
            <w:pPr>
              <w:rPr>
                <w:i/>
                <w:iCs/>
              </w:rPr>
            </w:pPr>
            <w:r w:rsidRPr="00441C5C">
              <w:rPr>
                <w:i/>
                <w:iCs/>
              </w:rPr>
              <w:t>Poslední úprava: PhDr. Ondřej Slačálek, Ph.D. (</w:t>
            </w:r>
            <w:proofErr w:type="gramStart"/>
            <w:r w:rsidRPr="00441C5C">
              <w:rPr>
                <w:i/>
                <w:iCs/>
              </w:rPr>
              <w:t>03.02.2021</w:t>
            </w:r>
            <w:proofErr w:type="gramEnd"/>
            <w:r w:rsidRPr="00441C5C">
              <w:rPr>
                <w:i/>
                <w:iCs/>
              </w:rPr>
              <w:t xml:space="preserve">) </w:t>
            </w:r>
          </w:p>
          <w:p w:rsidR="00441C5C" w:rsidRPr="00441C5C" w:rsidRDefault="00441C5C" w:rsidP="00441C5C">
            <w:r w:rsidRPr="00441C5C">
              <w:rPr>
                <w:b/>
                <w:bCs/>
              </w:rPr>
              <w:t>Pojetí kurzu a podmínky atestace</w:t>
            </w:r>
          </w:p>
          <w:p w:rsidR="00441C5C" w:rsidRPr="00441C5C" w:rsidRDefault="00441C5C" w:rsidP="00441C5C">
            <w:r w:rsidRPr="00441C5C">
              <w:t xml:space="preserve">Kurz je koncipován jako série propojených přednášek a seminářů týkajících se probírané látky. Po každé přednášce následuje seminář, kdy bude diskutována povinná literatura zadaná na příslušnou hodinu a obsah předcházející přednášky, případně i možná aplikace teoretických poznatků na empirické případy. Předpokládá se pravidelná příprava na jednotlivé hodiny, sestávající z četby povinné literatury. Kurz bude v závislosti na situaci probíhat patrně on-line, prostřednictvím platformy MS </w:t>
            </w:r>
            <w:proofErr w:type="spellStart"/>
            <w:r w:rsidRPr="00441C5C">
              <w:t>Teams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>Zkouška probíhá ústní formou, její součástí je také rozprava nad písemnou prací v rozsahu 15 normostran, která aplikuje některý z probíraných konceptů na aktuální otázku související s bezpečností.</w:t>
            </w:r>
          </w:p>
        </w:tc>
      </w:tr>
    </w:tbl>
    <w:p w:rsidR="00441C5C" w:rsidRPr="00441C5C" w:rsidRDefault="00441C5C" w:rsidP="00441C5C">
      <w:pPr>
        <w:rPr>
          <w:vanish/>
        </w:rPr>
      </w:pPr>
    </w:p>
    <w:tbl>
      <w:tblPr>
        <w:tblW w:w="5000" w:type="pct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72"/>
      </w:tblGrid>
      <w:tr w:rsidR="00441C5C" w:rsidRPr="00441C5C" w:rsidTr="00441C5C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0"/>
              <w:gridCol w:w="2052"/>
            </w:tblGrid>
            <w:tr w:rsidR="00441C5C" w:rsidRPr="00441C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rPr>
                      <w:b/>
                      <w:bCs/>
                    </w:rPr>
                    <w:t>Literatura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C5C" w:rsidRPr="00441C5C" w:rsidRDefault="00441C5C" w:rsidP="00441C5C">
                  <w:r w:rsidRPr="00441C5C"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Obrázek 6" descr="upravit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upravit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41C5C" w:rsidRPr="00441C5C" w:rsidRDefault="00441C5C" w:rsidP="00441C5C"/>
        </w:tc>
      </w:tr>
      <w:tr w:rsidR="00441C5C" w:rsidRPr="00441C5C" w:rsidTr="00441C5C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441C5C" w:rsidRPr="00441C5C" w:rsidRDefault="00441C5C" w:rsidP="00441C5C">
            <w:pPr>
              <w:rPr>
                <w:i/>
                <w:iCs/>
              </w:rPr>
            </w:pPr>
            <w:r w:rsidRPr="00441C5C">
              <w:rPr>
                <w:i/>
                <w:iCs/>
              </w:rPr>
              <w:t>Poslední úprava: PhDr. Ondřej Slačálek, Ph.D. (</w:t>
            </w:r>
            <w:proofErr w:type="gramStart"/>
            <w:r w:rsidRPr="00441C5C">
              <w:rPr>
                <w:i/>
                <w:iCs/>
              </w:rPr>
              <w:t>03.02.2021</w:t>
            </w:r>
            <w:proofErr w:type="gramEnd"/>
            <w:r w:rsidRPr="00441C5C">
              <w:rPr>
                <w:i/>
                <w:iCs/>
              </w:rPr>
              <w:t xml:space="preserve">) </w:t>
            </w:r>
          </w:p>
          <w:p w:rsidR="00441C5C" w:rsidRPr="00441C5C" w:rsidRDefault="00441C5C" w:rsidP="00441C5C">
            <w:r w:rsidRPr="00441C5C">
              <w:rPr>
                <w:b/>
                <w:bCs/>
              </w:rPr>
              <w:t>1) 16. 2. 2021: Úvodní setkání (představení kurzu)</w:t>
            </w:r>
          </w:p>
          <w:p w:rsidR="00441C5C" w:rsidRPr="00441C5C" w:rsidRDefault="00441C5C" w:rsidP="00441C5C">
            <w:r w:rsidRPr="00441C5C">
              <w:t>Nepovinná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Fierke</w:t>
            </w:r>
            <w:proofErr w:type="spellEnd"/>
            <w:r w:rsidRPr="00441C5C">
              <w:t xml:space="preserve">, K. M. 2007. </w:t>
            </w:r>
            <w:proofErr w:type="spellStart"/>
            <w:r w:rsidRPr="00441C5C">
              <w:t>Critical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Approaches</w:t>
            </w:r>
            <w:proofErr w:type="spellEnd"/>
            <w:r w:rsidRPr="00441C5C">
              <w:t xml:space="preserve"> to International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. Cambridge: Polity </w:t>
            </w:r>
            <w:proofErr w:type="spellStart"/>
            <w:r w:rsidRPr="00441C5C">
              <w:t>Press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Goldstein</w:t>
            </w:r>
            <w:proofErr w:type="spellEnd"/>
            <w:r w:rsidRPr="00441C5C">
              <w:t>, D. 2010. „</w:t>
            </w:r>
            <w:proofErr w:type="spellStart"/>
            <w:r w:rsidRPr="00441C5C">
              <w:t>Toward</w:t>
            </w:r>
            <w:proofErr w:type="spellEnd"/>
            <w:r w:rsidRPr="00441C5C">
              <w:t xml:space="preserve"> a </w:t>
            </w:r>
            <w:proofErr w:type="spellStart"/>
            <w:r w:rsidRPr="00441C5C">
              <w:t>Critical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Anthropology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Current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Anthropology</w:t>
            </w:r>
            <w:proofErr w:type="spellEnd"/>
            <w:r w:rsidRPr="00441C5C">
              <w:t xml:space="preserve"> 51 (4): 487–517.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Zedner</w:t>
            </w:r>
            <w:proofErr w:type="spellEnd"/>
            <w:r w:rsidRPr="00441C5C">
              <w:t xml:space="preserve">, L. 2009.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. London, New York: </w:t>
            </w:r>
            <w:proofErr w:type="spellStart"/>
            <w:r w:rsidRPr="00441C5C">
              <w:t>Routledge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> </w:t>
            </w:r>
          </w:p>
          <w:p w:rsidR="00441C5C" w:rsidRPr="00441C5C" w:rsidRDefault="00441C5C" w:rsidP="00441C5C">
            <w:r w:rsidRPr="00441C5C">
              <w:rPr>
                <w:b/>
                <w:bCs/>
              </w:rPr>
              <w:t>2) 23. 2. 2021: Konceptualizace bezpečnosti</w:t>
            </w:r>
          </w:p>
          <w:p w:rsidR="00441C5C" w:rsidRPr="00441C5C" w:rsidRDefault="00441C5C" w:rsidP="00441C5C">
            <w:r w:rsidRPr="00441C5C">
              <w:t>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Huysmans</w:t>
            </w:r>
            <w:proofErr w:type="spellEnd"/>
            <w:r w:rsidRPr="00441C5C">
              <w:t>, J. 1998. „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! </w:t>
            </w:r>
            <w:proofErr w:type="spellStart"/>
            <w:r w:rsidRPr="00441C5C">
              <w:t>What</w:t>
            </w:r>
            <w:proofErr w:type="spellEnd"/>
            <w:r w:rsidRPr="00441C5C">
              <w:t xml:space="preserve"> Do </w:t>
            </w:r>
            <w:proofErr w:type="spellStart"/>
            <w:r w:rsidRPr="00441C5C">
              <w:t>You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Mean</w:t>
            </w:r>
            <w:proofErr w:type="spellEnd"/>
            <w:r w:rsidRPr="00441C5C">
              <w:t xml:space="preserve">? </w:t>
            </w:r>
            <w:proofErr w:type="spellStart"/>
            <w:r w:rsidRPr="00441C5C">
              <w:t>From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Concept</w:t>
            </w:r>
            <w:proofErr w:type="spellEnd"/>
            <w:r w:rsidRPr="00441C5C">
              <w:t xml:space="preserve"> to </w:t>
            </w:r>
            <w:proofErr w:type="spellStart"/>
            <w:r w:rsidRPr="00441C5C">
              <w:t>Thick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Signifier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European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Journal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International Relations 4 (2): 226–255.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Neocleous</w:t>
            </w:r>
            <w:proofErr w:type="spellEnd"/>
            <w:r w:rsidRPr="00441C5C">
              <w:t>, M. 2000. „</w:t>
            </w:r>
            <w:proofErr w:type="spellStart"/>
            <w:r w:rsidRPr="00441C5C">
              <w:t>Against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Radical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Philosophy</w:t>
            </w:r>
            <w:proofErr w:type="spellEnd"/>
            <w:r w:rsidRPr="00441C5C">
              <w:t xml:space="preserve"> 100 (2): 7–15.</w:t>
            </w:r>
          </w:p>
          <w:p w:rsidR="00441C5C" w:rsidRPr="00441C5C" w:rsidRDefault="00441C5C" w:rsidP="00441C5C">
            <w:r w:rsidRPr="00441C5C">
              <w:t>Nepovinná literatura:</w:t>
            </w:r>
          </w:p>
          <w:p w:rsidR="00441C5C" w:rsidRPr="00441C5C" w:rsidRDefault="00441C5C" w:rsidP="00441C5C">
            <w:r w:rsidRPr="00441C5C">
              <w:t>· Smith, S. 2005. „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Contested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Concept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.“ Pp. 27–63 in K. </w:t>
            </w:r>
            <w:proofErr w:type="spellStart"/>
            <w:r w:rsidRPr="00441C5C">
              <w:t>Booth</w:t>
            </w:r>
            <w:proofErr w:type="spellEnd"/>
            <w:r w:rsidRPr="00441C5C">
              <w:t xml:space="preserve"> (</w:t>
            </w:r>
            <w:proofErr w:type="spellStart"/>
            <w:r w:rsidRPr="00441C5C">
              <w:t>ed</w:t>
            </w:r>
            <w:proofErr w:type="spellEnd"/>
            <w:r w:rsidRPr="00441C5C">
              <w:t xml:space="preserve">.). </w:t>
            </w:r>
            <w:proofErr w:type="spellStart"/>
            <w:r w:rsidRPr="00441C5C">
              <w:t>Critical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World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Politics</w:t>
            </w:r>
            <w:proofErr w:type="spellEnd"/>
            <w:r w:rsidRPr="00441C5C">
              <w:t xml:space="preserve">. </w:t>
            </w:r>
            <w:proofErr w:type="spellStart"/>
            <w:r w:rsidRPr="00441C5C">
              <w:t>Boulder</w:t>
            </w:r>
            <w:proofErr w:type="spellEnd"/>
            <w:r w:rsidRPr="00441C5C">
              <w:t xml:space="preserve">, CO: </w:t>
            </w:r>
            <w:proofErr w:type="spellStart"/>
            <w:r w:rsidRPr="00441C5C">
              <w:t>Lynne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Rienner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Publishers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>· Rothschild, E. 1995. „</w:t>
            </w:r>
            <w:proofErr w:type="spellStart"/>
            <w:r w:rsidRPr="00441C5C">
              <w:t>What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Is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?“ </w:t>
            </w:r>
            <w:proofErr w:type="spellStart"/>
            <w:r w:rsidRPr="00441C5C">
              <w:t>Dædalus</w:t>
            </w:r>
            <w:proofErr w:type="spellEnd"/>
            <w:r w:rsidRPr="00441C5C">
              <w:t xml:space="preserve"> 124 (3): 53–98.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Baldwin</w:t>
            </w:r>
            <w:proofErr w:type="spellEnd"/>
            <w:r w:rsidRPr="00441C5C">
              <w:t>, D. A. 1997. „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Concept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Review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International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 23 (1): 5–26.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Walker</w:t>
            </w:r>
            <w:proofErr w:type="spellEnd"/>
            <w:r w:rsidRPr="00441C5C">
              <w:t>, R. B. J. 1997. „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Subject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.“ Pp 61–82 in K. Krause, M. </w:t>
            </w:r>
            <w:proofErr w:type="spellStart"/>
            <w:r w:rsidRPr="00441C5C">
              <w:t>Williams</w:t>
            </w:r>
            <w:proofErr w:type="spellEnd"/>
            <w:r w:rsidRPr="00441C5C">
              <w:t xml:space="preserve"> (</w:t>
            </w:r>
            <w:proofErr w:type="spellStart"/>
            <w:r w:rsidRPr="00441C5C">
              <w:t>eds</w:t>
            </w:r>
            <w:proofErr w:type="spellEnd"/>
            <w:r w:rsidRPr="00441C5C">
              <w:t xml:space="preserve">.). </w:t>
            </w:r>
            <w:proofErr w:type="spellStart"/>
            <w:r w:rsidRPr="00441C5C">
              <w:t>Critical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Concepts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Cases</w:t>
            </w:r>
            <w:proofErr w:type="spellEnd"/>
            <w:r w:rsidRPr="00441C5C">
              <w:t xml:space="preserve">. London: UCL </w:t>
            </w:r>
            <w:proofErr w:type="spellStart"/>
            <w:r w:rsidRPr="00441C5C">
              <w:t>Press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>· Mareš, M. 2002. „Bezpečnost.“ Pp. 13–17 in P. Zeman (</w:t>
            </w:r>
            <w:proofErr w:type="spellStart"/>
            <w:r w:rsidRPr="00441C5C">
              <w:t>ed</w:t>
            </w:r>
            <w:proofErr w:type="spellEnd"/>
            <w:r w:rsidRPr="00441C5C">
              <w:t>.). Česká bezpečnostní terminologie: Výklad základních pojmů. Brno: Masarykova univerzita, Mezinárodní politologický ústav.</w:t>
            </w:r>
          </w:p>
          <w:p w:rsidR="00441C5C" w:rsidRPr="00441C5C" w:rsidRDefault="00441C5C" w:rsidP="00441C5C">
            <w:r w:rsidRPr="00441C5C">
              <w:t> </w:t>
            </w:r>
          </w:p>
          <w:p w:rsidR="00441C5C" w:rsidRPr="00441C5C" w:rsidRDefault="00441C5C" w:rsidP="00441C5C">
            <w:r w:rsidRPr="00441C5C">
              <w:rPr>
                <w:b/>
                <w:bCs/>
              </w:rPr>
              <w:t>3) 2. 3. 2021: Hlavní přístupy k výzkumu bezpečnosti (1)</w:t>
            </w:r>
          </w:p>
          <w:p w:rsidR="00441C5C" w:rsidRPr="00441C5C" w:rsidRDefault="00441C5C" w:rsidP="00441C5C">
            <w:r w:rsidRPr="00441C5C">
              <w:t>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Shepherd</w:t>
            </w:r>
            <w:proofErr w:type="spellEnd"/>
            <w:r w:rsidRPr="00441C5C">
              <w:t xml:space="preserve">, L. J. a J. </w:t>
            </w:r>
            <w:proofErr w:type="spellStart"/>
            <w:r w:rsidRPr="00441C5C">
              <w:t>Weldes</w:t>
            </w:r>
            <w:proofErr w:type="spellEnd"/>
            <w:r w:rsidRPr="00441C5C">
              <w:t>. 2008. „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State</w:t>
            </w:r>
            <w:proofErr w:type="spellEnd"/>
            <w:r w:rsidRPr="00441C5C">
              <w:t xml:space="preserve"> (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) </w:t>
            </w:r>
            <w:proofErr w:type="spellStart"/>
            <w:r w:rsidRPr="00441C5C">
              <w:t>Being</w:t>
            </w:r>
            <w:proofErr w:type="spellEnd"/>
            <w:r w:rsidRPr="00441C5C">
              <w:t xml:space="preserve"> Free </w:t>
            </w:r>
            <w:proofErr w:type="spellStart"/>
            <w:r w:rsidRPr="00441C5C">
              <w:t>from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Danger</w:t>
            </w:r>
            <w:proofErr w:type="spellEnd"/>
            <w:r w:rsidRPr="00441C5C">
              <w:t xml:space="preserve">?“ Pp. 529–537 in H. G. </w:t>
            </w:r>
            <w:proofErr w:type="spellStart"/>
            <w:r w:rsidRPr="00441C5C">
              <w:t>Brauch</w:t>
            </w:r>
            <w:proofErr w:type="spellEnd"/>
            <w:r w:rsidRPr="00441C5C">
              <w:t xml:space="preserve">, N. Ch. </w:t>
            </w:r>
            <w:proofErr w:type="spellStart"/>
            <w:r w:rsidRPr="00441C5C">
              <w:t>Behera</w:t>
            </w:r>
            <w:proofErr w:type="spellEnd"/>
            <w:r w:rsidRPr="00441C5C">
              <w:t xml:space="preserve">, Ü. O. </w:t>
            </w:r>
            <w:proofErr w:type="spellStart"/>
            <w:r w:rsidRPr="00441C5C">
              <w:t>Spring</w:t>
            </w:r>
            <w:proofErr w:type="spellEnd"/>
            <w:r w:rsidRPr="00441C5C">
              <w:t xml:space="preserve">, B. </w:t>
            </w:r>
            <w:proofErr w:type="spellStart"/>
            <w:r w:rsidRPr="00441C5C">
              <w:t>Chourou</w:t>
            </w:r>
            <w:proofErr w:type="spellEnd"/>
            <w:r w:rsidRPr="00441C5C">
              <w:t xml:space="preserve">, C. </w:t>
            </w:r>
            <w:proofErr w:type="spellStart"/>
            <w:r w:rsidRPr="00441C5C">
              <w:t>Mesjasz</w:t>
            </w:r>
            <w:proofErr w:type="spellEnd"/>
            <w:r w:rsidRPr="00441C5C">
              <w:t xml:space="preserve">, P. </w:t>
            </w:r>
            <w:proofErr w:type="spellStart"/>
            <w:r w:rsidRPr="00441C5C">
              <w:t>Kameri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Mbote</w:t>
            </w:r>
            <w:proofErr w:type="spellEnd"/>
            <w:r w:rsidRPr="00441C5C">
              <w:t xml:space="preserve">, J. </w:t>
            </w:r>
            <w:proofErr w:type="spellStart"/>
            <w:r w:rsidRPr="00441C5C">
              <w:t>Grin</w:t>
            </w:r>
            <w:proofErr w:type="spellEnd"/>
            <w:r w:rsidRPr="00441C5C">
              <w:t xml:space="preserve">, P. H. </w:t>
            </w:r>
            <w:proofErr w:type="spellStart"/>
            <w:r w:rsidRPr="00441C5C">
              <w:t>Liotta</w:t>
            </w:r>
            <w:proofErr w:type="spellEnd"/>
            <w:r w:rsidRPr="00441C5C">
              <w:t xml:space="preserve"> a P. </w:t>
            </w:r>
            <w:proofErr w:type="spellStart"/>
            <w:r w:rsidRPr="00441C5C">
              <w:t>Dunay</w:t>
            </w:r>
            <w:proofErr w:type="spellEnd"/>
            <w:r w:rsidRPr="00441C5C">
              <w:t xml:space="preserve"> (</w:t>
            </w:r>
            <w:proofErr w:type="spellStart"/>
            <w:r w:rsidRPr="00441C5C">
              <w:t>eds</w:t>
            </w:r>
            <w:proofErr w:type="spellEnd"/>
            <w:r w:rsidRPr="00441C5C">
              <w:t xml:space="preserve">.). </w:t>
            </w:r>
            <w:proofErr w:type="spellStart"/>
            <w:r w:rsidRPr="00441C5C">
              <w:t>Globalization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Environmental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Challenges</w:t>
            </w:r>
            <w:proofErr w:type="spellEnd"/>
            <w:r w:rsidRPr="00441C5C">
              <w:t xml:space="preserve">. </w:t>
            </w:r>
            <w:proofErr w:type="spellStart"/>
            <w:r w:rsidRPr="00441C5C">
              <w:t>Reconceptualizing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in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21st </w:t>
            </w:r>
            <w:proofErr w:type="spellStart"/>
            <w:r w:rsidRPr="00441C5C">
              <w:t>Century</w:t>
            </w:r>
            <w:proofErr w:type="spellEnd"/>
            <w:r w:rsidRPr="00441C5C">
              <w:t xml:space="preserve">. </w:t>
            </w:r>
            <w:proofErr w:type="spellStart"/>
            <w:r w:rsidRPr="00441C5C">
              <w:t>Berlin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Springer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Mutimer</w:t>
            </w:r>
            <w:proofErr w:type="spellEnd"/>
            <w:r w:rsidRPr="00441C5C">
              <w:t>, D. 2016. „</w:t>
            </w:r>
            <w:proofErr w:type="spellStart"/>
            <w:r w:rsidRPr="00441C5C">
              <w:t>Critical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: A </w:t>
            </w:r>
            <w:proofErr w:type="spellStart"/>
            <w:r w:rsidRPr="00441C5C">
              <w:t>Schismatic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History</w:t>
            </w:r>
            <w:proofErr w:type="spellEnd"/>
            <w:r w:rsidRPr="00441C5C">
              <w:t xml:space="preserve">.“ Pp. 87–107 in A. </w:t>
            </w:r>
            <w:proofErr w:type="spellStart"/>
            <w:r w:rsidRPr="00441C5C">
              <w:t>Collins</w:t>
            </w:r>
            <w:proofErr w:type="spellEnd"/>
            <w:r w:rsidRPr="00441C5C">
              <w:t xml:space="preserve"> (</w:t>
            </w:r>
            <w:proofErr w:type="spellStart"/>
            <w:r w:rsidRPr="00441C5C">
              <w:t>ed</w:t>
            </w:r>
            <w:proofErr w:type="spellEnd"/>
            <w:r w:rsidRPr="00441C5C">
              <w:t xml:space="preserve">.). </w:t>
            </w:r>
            <w:proofErr w:type="spellStart"/>
            <w:r w:rsidRPr="00441C5C">
              <w:t>Contemporary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. </w:t>
            </w:r>
            <w:proofErr w:type="spellStart"/>
            <w:r w:rsidRPr="00441C5C">
              <w:t>Fourth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Edition</w:t>
            </w:r>
            <w:proofErr w:type="spellEnd"/>
            <w:r w:rsidRPr="00441C5C">
              <w:t xml:space="preserve">. Oxford: Oxford University </w:t>
            </w:r>
            <w:proofErr w:type="spellStart"/>
            <w:r w:rsidRPr="00441C5C">
              <w:t>Press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>Nepovinná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Peoples</w:t>
            </w:r>
            <w:proofErr w:type="spellEnd"/>
            <w:r w:rsidRPr="00441C5C">
              <w:t xml:space="preserve">, C. a N. </w:t>
            </w:r>
            <w:proofErr w:type="spellStart"/>
            <w:r w:rsidRPr="00441C5C">
              <w:t>Vaughan-Williams</w:t>
            </w:r>
            <w:proofErr w:type="spellEnd"/>
            <w:r w:rsidRPr="00441C5C">
              <w:t xml:space="preserve">. 2014. </w:t>
            </w:r>
            <w:proofErr w:type="spellStart"/>
            <w:r w:rsidRPr="00441C5C">
              <w:t>Critical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. </w:t>
            </w:r>
            <w:proofErr w:type="spellStart"/>
            <w:r w:rsidRPr="00441C5C">
              <w:t>An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Introduction</w:t>
            </w:r>
            <w:proofErr w:type="spellEnd"/>
            <w:r w:rsidRPr="00441C5C">
              <w:t xml:space="preserve">. Second and </w:t>
            </w:r>
            <w:proofErr w:type="spellStart"/>
            <w:r w:rsidRPr="00441C5C">
              <w:t>Revised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Edition</w:t>
            </w:r>
            <w:proofErr w:type="spellEnd"/>
            <w:r w:rsidRPr="00441C5C">
              <w:t xml:space="preserve">. London: </w:t>
            </w:r>
            <w:proofErr w:type="spellStart"/>
            <w:r w:rsidRPr="00441C5C">
              <w:t>Routledge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 xml:space="preserve">· Basu, S. a J. </w:t>
            </w:r>
            <w:proofErr w:type="spellStart"/>
            <w:r w:rsidRPr="00441C5C">
              <w:t>Nunes</w:t>
            </w:r>
            <w:proofErr w:type="spellEnd"/>
            <w:r w:rsidRPr="00441C5C">
              <w:t>. 2013. „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as </w:t>
            </w:r>
            <w:proofErr w:type="spellStart"/>
            <w:r w:rsidRPr="00441C5C">
              <w:t>Emancipation</w:t>
            </w:r>
            <w:proofErr w:type="spellEnd"/>
            <w:r w:rsidRPr="00441C5C">
              <w:t xml:space="preserve">.“ Pp. 63–76 in L. J. </w:t>
            </w:r>
            <w:proofErr w:type="spellStart"/>
            <w:r w:rsidRPr="00441C5C">
              <w:t>Shepherd</w:t>
            </w:r>
            <w:proofErr w:type="spellEnd"/>
            <w:r w:rsidRPr="00441C5C">
              <w:t xml:space="preserve"> (</w:t>
            </w:r>
            <w:proofErr w:type="spellStart"/>
            <w:r w:rsidRPr="00441C5C">
              <w:t>ed</w:t>
            </w:r>
            <w:proofErr w:type="spellEnd"/>
            <w:r w:rsidRPr="00441C5C">
              <w:t xml:space="preserve">.). </w:t>
            </w:r>
            <w:proofErr w:type="spellStart"/>
            <w:r w:rsidRPr="00441C5C">
              <w:t>Critical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Approaches</w:t>
            </w:r>
            <w:proofErr w:type="spellEnd"/>
            <w:r w:rsidRPr="00441C5C">
              <w:t xml:space="preserve"> to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. </w:t>
            </w:r>
            <w:proofErr w:type="spellStart"/>
            <w:r w:rsidRPr="00441C5C">
              <w:t>An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Introduction</w:t>
            </w:r>
            <w:proofErr w:type="spellEnd"/>
            <w:r w:rsidRPr="00441C5C">
              <w:t xml:space="preserve"> to </w:t>
            </w:r>
            <w:proofErr w:type="spellStart"/>
            <w:r w:rsidRPr="00441C5C">
              <w:t>Theories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Methods</w:t>
            </w:r>
            <w:proofErr w:type="spellEnd"/>
            <w:r w:rsidRPr="00441C5C">
              <w:t xml:space="preserve">. London: </w:t>
            </w:r>
            <w:proofErr w:type="spellStart"/>
            <w:r w:rsidRPr="00441C5C">
              <w:t>Routledge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Sjoberg</w:t>
            </w:r>
            <w:proofErr w:type="spellEnd"/>
            <w:r w:rsidRPr="00441C5C">
              <w:t>, L. 2009. „</w:t>
            </w:r>
            <w:proofErr w:type="spellStart"/>
            <w:r w:rsidRPr="00441C5C">
              <w:t>Introduction</w:t>
            </w:r>
            <w:proofErr w:type="spellEnd"/>
            <w:r w:rsidRPr="00441C5C">
              <w:t xml:space="preserve"> to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Feminist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Contributions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 18 (2): 183–213.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Jarvis</w:t>
            </w:r>
            <w:proofErr w:type="spellEnd"/>
            <w:r w:rsidRPr="00441C5C">
              <w:t xml:space="preserve">, L. a M. </w:t>
            </w:r>
            <w:proofErr w:type="spellStart"/>
            <w:r w:rsidRPr="00441C5C">
              <w:t>Lister</w:t>
            </w:r>
            <w:proofErr w:type="spellEnd"/>
            <w:r w:rsidRPr="00441C5C">
              <w:t>. 2013. „</w:t>
            </w:r>
            <w:proofErr w:type="spellStart"/>
            <w:r w:rsidRPr="00441C5C">
              <w:t>Vernacular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Securities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Their</w:t>
            </w:r>
            <w:proofErr w:type="spellEnd"/>
            <w:r w:rsidRPr="00441C5C">
              <w:t xml:space="preserve"> Study: A </w:t>
            </w:r>
            <w:proofErr w:type="spellStart"/>
            <w:r w:rsidRPr="00441C5C">
              <w:t>Qualitative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Analysis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Research</w:t>
            </w:r>
            <w:proofErr w:type="spellEnd"/>
            <w:r w:rsidRPr="00441C5C">
              <w:t xml:space="preserve"> Agenda.“ International Relations 27 (2): 158–179.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Wibben</w:t>
            </w:r>
            <w:proofErr w:type="spellEnd"/>
            <w:r w:rsidRPr="00441C5C">
              <w:t xml:space="preserve">, A. T. R. 2014. „On </w:t>
            </w:r>
            <w:proofErr w:type="spellStart"/>
            <w:r w:rsidRPr="00441C5C">
              <w:t>Narrative</w:t>
            </w:r>
            <w:proofErr w:type="spellEnd"/>
            <w:r w:rsidRPr="00441C5C">
              <w:t xml:space="preserve">, </w:t>
            </w:r>
            <w:proofErr w:type="spellStart"/>
            <w:r w:rsidRPr="00441C5C">
              <w:t>Metaphor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Politics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.“ Pp. 118–136 in M. </w:t>
            </w:r>
            <w:proofErr w:type="spellStart"/>
            <w:r w:rsidRPr="00441C5C">
              <w:t>Hanne</w:t>
            </w:r>
            <w:proofErr w:type="spellEnd"/>
            <w:r w:rsidRPr="00441C5C">
              <w:t xml:space="preserve">, W. D. </w:t>
            </w:r>
            <w:proofErr w:type="spellStart"/>
            <w:r w:rsidRPr="00441C5C">
              <w:t>Crano</w:t>
            </w:r>
            <w:proofErr w:type="spellEnd"/>
            <w:r w:rsidRPr="00441C5C">
              <w:t xml:space="preserve">, J. S. </w:t>
            </w:r>
            <w:proofErr w:type="spellStart"/>
            <w:r w:rsidRPr="00441C5C">
              <w:t>Mio</w:t>
            </w:r>
            <w:proofErr w:type="spellEnd"/>
            <w:r w:rsidRPr="00441C5C">
              <w:t xml:space="preserve"> (</w:t>
            </w:r>
            <w:proofErr w:type="spellStart"/>
            <w:r w:rsidRPr="00441C5C">
              <w:t>eds</w:t>
            </w:r>
            <w:proofErr w:type="spellEnd"/>
            <w:r w:rsidRPr="00441C5C">
              <w:t xml:space="preserve">.). </w:t>
            </w:r>
            <w:proofErr w:type="spellStart"/>
            <w:r w:rsidRPr="00441C5C">
              <w:t>Warring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with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Words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Narrative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Metaphor</w:t>
            </w:r>
            <w:proofErr w:type="spellEnd"/>
            <w:r w:rsidRPr="00441C5C">
              <w:t xml:space="preserve"> in </w:t>
            </w:r>
            <w:proofErr w:type="spellStart"/>
            <w:r w:rsidRPr="00441C5C">
              <w:t>Politics</w:t>
            </w:r>
            <w:proofErr w:type="spellEnd"/>
            <w:r w:rsidRPr="00441C5C">
              <w:t xml:space="preserve">. New York: Psychology </w:t>
            </w:r>
            <w:proofErr w:type="spellStart"/>
            <w:r w:rsidRPr="00441C5C">
              <w:t>Press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proofErr w:type="gramStart"/>
            <w:r w:rsidRPr="00441C5C">
              <w:t>Buzan</w:t>
            </w:r>
            <w:proofErr w:type="spellEnd"/>
            <w:r w:rsidRPr="00441C5C">
              <w:t>, B. a L.</w:t>
            </w:r>
            <w:proofErr w:type="gramEnd"/>
            <w:r w:rsidRPr="00441C5C">
              <w:t xml:space="preserve"> </w:t>
            </w:r>
            <w:proofErr w:type="spellStart"/>
            <w:r w:rsidRPr="00441C5C">
              <w:t>Hansen</w:t>
            </w:r>
            <w:proofErr w:type="spellEnd"/>
            <w:r w:rsidRPr="00441C5C">
              <w:t xml:space="preserve">. 2009.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Evolution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International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. Cambridge: Cambridge University </w:t>
            </w:r>
            <w:proofErr w:type="spellStart"/>
            <w:r w:rsidRPr="00441C5C">
              <w:t>Press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> </w:t>
            </w:r>
          </w:p>
          <w:p w:rsidR="00441C5C" w:rsidRPr="00441C5C" w:rsidRDefault="00441C5C" w:rsidP="00441C5C">
            <w:r w:rsidRPr="00441C5C">
              <w:rPr>
                <w:b/>
                <w:bCs/>
              </w:rPr>
              <w:t>4) 9. 3. 2021: Hlavní přístupy k výzkumu bezpečnosti (2)</w:t>
            </w:r>
          </w:p>
          <w:p w:rsidR="00441C5C" w:rsidRPr="00441C5C" w:rsidRDefault="00441C5C" w:rsidP="00441C5C">
            <w:r w:rsidRPr="00441C5C">
              <w:t>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Barkawi</w:t>
            </w:r>
            <w:proofErr w:type="spellEnd"/>
            <w:r w:rsidRPr="00441C5C">
              <w:t xml:space="preserve">, T. a </w:t>
            </w:r>
            <w:proofErr w:type="spellStart"/>
            <w:r w:rsidRPr="00441C5C">
              <w:t>Laffey</w:t>
            </w:r>
            <w:proofErr w:type="spellEnd"/>
            <w:r w:rsidRPr="00441C5C">
              <w:t xml:space="preserve">, M. 2006.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Postcolonial</w:t>
            </w:r>
            <w:proofErr w:type="spellEnd"/>
            <w:r w:rsidRPr="00441C5C">
              <w:t xml:space="preserve"> Moment in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. </w:t>
            </w:r>
            <w:proofErr w:type="spellStart"/>
            <w:r w:rsidRPr="00441C5C">
              <w:t>Review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International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 32 (2): 329–352.</w:t>
            </w:r>
          </w:p>
          <w:p w:rsidR="00441C5C" w:rsidRPr="00441C5C" w:rsidRDefault="00441C5C" w:rsidP="00441C5C">
            <w:r w:rsidRPr="00441C5C">
              <w:t>· Daniel, J. a D. Rychnovská. 2015. „Mezinárodní politická sociologie: výzkum praxe bezpečnosti.“ Mezinárodní vztahy 50 (1): 26–45.</w:t>
            </w:r>
          </w:p>
          <w:p w:rsidR="00441C5C" w:rsidRPr="00441C5C" w:rsidRDefault="00441C5C" w:rsidP="00441C5C">
            <w:r w:rsidRPr="00441C5C">
              <w:t> </w:t>
            </w:r>
          </w:p>
          <w:p w:rsidR="00441C5C" w:rsidRPr="00441C5C" w:rsidRDefault="00441C5C" w:rsidP="00441C5C">
            <w:r w:rsidRPr="00441C5C">
              <w:t>Nepovinná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Basaran</w:t>
            </w:r>
            <w:proofErr w:type="spellEnd"/>
            <w:r w:rsidRPr="00441C5C">
              <w:t xml:space="preserve">, T., </w:t>
            </w:r>
            <w:proofErr w:type="spellStart"/>
            <w:r w:rsidRPr="00441C5C">
              <w:t>Bigo</w:t>
            </w:r>
            <w:proofErr w:type="spellEnd"/>
            <w:r w:rsidRPr="00441C5C">
              <w:t xml:space="preserve">, D., </w:t>
            </w:r>
            <w:proofErr w:type="spellStart"/>
            <w:proofErr w:type="gramStart"/>
            <w:r w:rsidRPr="00441C5C">
              <w:t>Guittet</w:t>
            </w:r>
            <w:proofErr w:type="spellEnd"/>
            <w:r w:rsidRPr="00441C5C">
              <w:t>, E.-P.</w:t>
            </w:r>
            <w:proofErr w:type="gramEnd"/>
            <w:r w:rsidRPr="00441C5C">
              <w:t xml:space="preserve"> a </w:t>
            </w:r>
            <w:proofErr w:type="spellStart"/>
            <w:r w:rsidRPr="00441C5C">
              <w:t>Walker</w:t>
            </w:r>
            <w:proofErr w:type="spellEnd"/>
            <w:r w:rsidRPr="00441C5C">
              <w:t>, R.B.J. (</w:t>
            </w:r>
            <w:proofErr w:type="spellStart"/>
            <w:r w:rsidRPr="00441C5C">
              <w:t>eds</w:t>
            </w:r>
            <w:proofErr w:type="spellEnd"/>
            <w:r w:rsidRPr="00441C5C">
              <w:t xml:space="preserve">.). 2017. International </w:t>
            </w:r>
            <w:proofErr w:type="spellStart"/>
            <w:r w:rsidRPr="00441C5C">
              <w:t>Political</w:t>
            </w:r>
            <w:proofErr w:type="spellEnd"/>
            <w:r w:rsidRPr="00441C5C">
              <w:t xml:space="preserve"> Sociology. </w:t>
            </w:r>
            <w:proofErr w:type="spellStart"/>
            <w:r w:rsidRPr="00441C5C">
              <w:t>Transversal</w:t>
            </w:r>
            <w:proofErr w:type="spellEnd"/>
            <w:r w:rsidRPr="00441C5C">
              <w:t xml:space="preserve"> Lines. London: </w:t>
            </w:r>
            <w:proofErr w:type="spellStart"/>
            <w:r w:rsidRPr="00441C5C">
              <w:t>Routledge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proofErr w:type="gramStart"/>
            <w:r w:rsidRPr="00441C5C">
              <w:t>Buzan</w:t>
            </w:r>
            <w:proofErr w:type="spellEnd"/>
            <w:r w:rsidRPr="00441C5C">
              <w:t>, B. a L.</w:t>
            </w:r>
            <w:proofErr w:type="gramEnd"/>
            <w:r w:rsidRPr="00441C5C">
              <w:t xml:space="preserve"> </w:t>
            </w:r>
            <w:proofErr w:type="spellStart"/>
            <w:r w:rsidRPr="00441C5C">
              <w:t>Hansen</w:t>
            </w:r>
            <w:proofErr w:type="spellEnd"/>
            <w:r w:rsidRPr="00441C5C">
              <w:t xml:space="preserve">. 2009.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Evolution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International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. Cambridge: Cambridge University </w:t>
            </w:r>
            <w:proofErr w:type="spellStart"/>
            <w:r w:rsidRPr="00441C5C">
              <w:t>Press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Hönke</w:t>
            </w:r>
            <w:proofErr w:type="spellEnd"/>
            <w:r w:rsidRPr="00441C5C">
              <w:t xml:space="preserve">, J. a Müller, </w:t>
            </w:r>
            <w:proofErr w:type="gramStart"/>
            <w:r w:rsidRPr="00441C5C">
              <w:t>M.-M.</w:t>
            </w:r>
            <w:proofErr w:type="gramEnd"/>
            <w:r w:rsidRPr="00441C5C">
              <w:t xml:space="preserve"> 2012. </w:t>
            </w:r>
            <w:proofErr w:type="spellStart"/>
            <w:r w:rsidRPr="00441C5C">
              <w:t>Governing</w:t>
            </w:r>
            <w:proofErr w:type="spellEnd"/>
            <w:r w:rsidRPr="00441C5C">
              <w:t xml:space="preserve"> (In)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in a </w:t>
            </w:r>
            <w:proofErr w:type="spellStart"/>
            <w:r w:rsidRPr="00441C5C">
              <w:t>Postcolonial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World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Transnational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Entanglements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Worldliness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‘</w:t>
            </w:r>
            <w:proofErr w:type="spellStart"/>
            <w:r w:rsidRPr="00441C5C">
              <w:t>Local</w:t>
            </w:r>
            <w:proofErr w:type="spellEnd"/>
            <w:r w:rsidRPr="00441C5C">
              <w:t xml:space="preserve">’ </w:t>
            </w:r>
            <w:proofErr w:type="spellStart"/>
            <w:r w:rsidRPr="00441C5C">
              <w:t>Practice</w:t>
            </w:r>
            <w:proofErr w:type="spellEnd"/>
            <w:r w:rsidRPr="00441C5C">
              <w:t xml:space="preserve">.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Dialogue</w:t>
            </w:r>
            <w:proofErr w:type="spellEnd"/>
            <w:r w:rsidRPr="00441C5C">
              <w:t xml:space="preserve"> 43 (5): 383–401.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Peoples</w:t>
            </w:r>
            <w:proofErr w:type="spellEnd"/>
            <w:r w:rsidRPr="00441C5C">
              <w:t xml:space="preserve">, C., N. </w:t>
            </w:r>
            <w:proofErr w:type="spellStart"/>
            <w:r w:rsidRPr="00441C5C">
              <w:t>Vaughan-Williams</w:t>
            </w:r>
            <w:proofErr w:type="spellEnd"/>
            <w:r w:rsidRPr="00441C5C">
              <w:t xml:space="preserve">. 2014. </w:t>
            </w:r>
            <w:proofErr w:type="spellStart"/>
            <w:r w:rsidRPr="00441C5C">
              <w:t>Critical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. </w:t>
            </w:r>
            <w:proofErr w:type="spellStart"/>
            <w:r w:rsidRPr="00441C5C">
              <w:t>An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Introduction</w:t>
            </w:r>
            <w:proofErr w:type="spellEnd"/>
            <w:r w:rsidRPr="00441C5C">
              <w:t xml:space="preserve">. Second and </w:t>
            </w:r>
            <w:proofErr w:type="spellStart"/>
            <w:r w:rsidRPr="00441C5C">
              <w:t>Revised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Edition</w:t>
            </w:r>
            <w:proofErr w:type="spellEnd"/>
            <w:r w:rsidRPr="00441C5C">
              <w:t xml:space="preserve">. London: </w:t>
            </w:r>
            <w:proofErr w:type="spellStart"/>
            <w:r w:rsidRPr="00441C5C">
              <w:t>Routledge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Wibben</w:t>
            </w:r>
            <w:proofErr w:type="spellEnd"/>
            <w:r w:rsidRPr="00441C5C">
              <w:t xml:space="preserve">, A. T. R. 2014. „On </w:t>
            </w:r>
            <w:proofErr w:type="spellStart"/>
            <w:r w:rsidRPr="00441C5C">
              <w:t>Narrative</w:t>
            </w:r>
            <w:proofErr w:type="spellEnd"/>
            <w:r w:rsidRPr="00441C5C">
              <w:t xml:space="preserve">, </w:t>
            </w:r>
            <w:proofErr w:type="spellStart"/>
            <w:r w:rsidRPr="00441C5C">
              <w:t>Metaphor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Politics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.“ Pp. 118–136 in M. </w:t>
            </w:r>
            <w:proofErr w:type="spellStart"/>
            <w:r w:rsidRPr="00441C5C">
              <w:t>Hanne</w:t>
            </w:r>
            <w:proofErr w:type="spellEnd"/>
            <w:r w:rsidRPr="00441C5C">
              <w:t xml:space="preserve">, W. D. </w:t>
            </w:r>
            <w:proofErr w:type="spellStart"/>
            <w:r w:rsidRPr="00441C5C">
              <w:t>Crano</w:t>
            </w:r>
            <w:proofErr w:type="spellEnd"/>
            <w:r w:rsidRPr="00441C5C">
              <w:t xml:space="preserve">, J. S. </w:t>
            </w:r>
            <w:proofErr w:type="spellStart"/>
            <w:r w:rsidRPr="00441C5C">
              <w:t>Mio</w:t>
            </w:r>
            <w:proofErr w:type="spellEnd"/>
            <w:r w:rsidRPr="00441C5C">
              <w:t xml:space="preserve"> (</w:t>
            </w:r>
            <w:proofErr w:type="spellStart"/>
            <w:r w:rsidRPr="00441C5C">
              <w:t>eds</w:t>
            </w:r>
            <w:proofErr w:type="spellEnd"/>
            <w:r w:rsidRPr="00441C5C">
              <w:t xml:space="preserve">.). </w:t>
            </w:r>
            <w:proofErr w:type="spellStart"/>
            <w:r w:rsidRPr="00441C5C">
              <w:t>Warring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with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Words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Narrative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Metaphor</w:t>
            </w:r>
            <w:proofErr w:type="spellEnd"/>
            <w:r w:rsidRPr="00441C5C">
              <w:t xml:space="preserve"> in </w:t>
            </w:r>
            <w:proofErr w:type="spellStart"/>
            <w:r w:rsidRPr="00441C5C">
              <w:t>Politics</w:t>
            </w:r>
            <w:proofErr w:type="spellEnd"/>
            <w:r w:rsidRPr="00441C5C">
              <w:t xml:space="preserve">. New York: Psychology </w:t>
            </w:r>
            <w:proofErr w:type="spellStart"/>
            <w:r w:rsidRPr="00441C5C">
              <w:t>Press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> </w:t>
            </w:r>
          </w:p>
          <w:p w:rsidR="00441C5C" w:rsidRPr="00441C5C" w:rsidRDefault="00441C5C" w:rsidP="00441C5C">
            <w:r w:rsidRPr="00441C5C">
              <w:rPr>
                <w:b/>
                <w:bCs/>
              </w:rPr>
              <w:t xml:space="preserve">5) 16. 3. 2021: </w:t>
            </w:r>
            <w:proofErr w:type="spellStart"/>
            <w:r w:rsidRPr="00441C5C">
              <w:rPr>
                <w:b/>
                <w:bCs/>
              </w:rPr>
              <w:t>Sekuritizace</w:t>
            </w:r>
            <w:proofErr w:type="spellEnd"/>
          </w:p>
          <w:p w:rsidR="00441C5C" w:rsidRPr="00441C5C" w:rsidRDefault="00441C5C" w:rsidP="00441C5C">
            <w:r w:rsidRPr="00441C5C">
              <w:t>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Wæver</w:t>
            </w:r>
            <w:proofErr w:type="spellEnd"/>
            <w:r w:rsidRPr="00441C5C">
              <w:t>, O. 1995. „</w:t>
            </w:r>
            <w:proofErr w:type="spellStart"/>
            <w:r w:rsidRPr="00441C5C">
              <w:t>Securitisation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Desecuritisation</w:t>
            </w:r>
            <w:proofErr w:type="spellEnd"/>
            <w:r w:rsidRPr="00441C5C">
              <w:t xml:space="preserve">.“ Pp. 46–86 in R. D. </w:t>
            </w:r>
            <w:proofErr w:type="spellStart"/>
            <w:r w:rsidRPr="00441C5C">
              <w:t>Lipschutz</w:t>
            </w:r>
            <w:proofErr w:type="spellEnd"/>
            <w:r w:rsidRPr="00441C5C">
              <w:t xml:space="preserve"> (</w:t>
            </w:r>
            <w:proofErr w:type="spellStart"/>
            <w:r w:rsidRPr="00441C5C">
              <w:t>ed</w:t>
            </w:r>
            <w:proofErr w:type="spellEnd"/>
            <w:r w:rsidRPr="00441C5C">
              <w:t xml:space="preserve">.). On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. New York: Columbia University </w:t>
            </w:r>
            <w:proofErr w:type="spellStart"/>
            <w:r w:rsidRPr="00441C5C">
              <w:t>Press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Balzacq</w:t>
            </w:r>
            <w:proofErr w:type="spellEnd"/>
            <w:r w:rsidRPr="00441C5C">
              <w:t xml:space="preserve">, T., S. </w:t>
            </w:r>
            <w:proofErr w:type="spellStart"/>
            <w:r w:rsidRPr="00441C5C">
              <w:t>Léonard</w:t>
            </w:r>
            <w:proofErr w:type="spellEnd"/>
            <w:r w:rsidRPr="00441C5C">
              <w:t xml:space="preserve"> a J. Růžička. 2016. „‘</w:t>
            </w:r>
            <w:proofErr w:type="spellStart"/>
            <w:r w:rsidRPr="00441C5C">
              <w:t>Securitization</w:t>
            </w:r>
            <w:proofErr w:type="spellEnd"/>
            <w:r w:rsidRPr="00441C5C">
              <w:t xml:space="preserve">’ </w:t>
            </w:r>
            <w:proofErr w:type="spellStart"/>
            <w:r w:rsidRPr="00441C5C">
              <w:t>Revisited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Theory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Cases</w:t>
            </w:r>
            <w:proofErr w:type="spellEnd"/>
            <w:r w:rsidRPr="00441C5C">
              <w:t xml:space="preserve">.“ International </w:t>
            </w:r>
            <w:proofErr w:type="spellStart"/>
            <w:r w:rsidRPr="00441C5C">
              <w:t>Theory</w:t>
            </w:r>
            <w:proofErr w:type="spellEnd"/>
            <w:r w:rsidRPr="00441C5C">
              <w:t xml:space="preserve"> 30 (4): 494–531.</w:t>
            </w:r>
          </w:p>
          <w:p w:rsidR="00441C5C" w:rsidRPr="00441C5C" w:rsidRDefault="00441C5C" w:rsidP="00441C5C">
            <w:r w:rsidRPr="00441C5C">
              <w:t>Nepovinná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Taureck</w:t>
            </w:r>
            <w:proofErr w:type="spellEnd"/>
            <w:r w:rsidRPr="00441C5C">
              <w:t xml:space="preserve">, R. 2006. </w:t>
            </w:r>
            <w:proofErr w:type="spellStart"/>
            <w:r w:rsidRPr="00441C5C">
              <w:t>Securitisation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Theory</w:t>
            </w:r>
            <w:proofErr w:type="spellEnd"/>
            <w:r w:rsidRPr="00441C5C">
              <w:t xml:space="preserve"> –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Story So Far: </w:t>
            </w:r>
            <w:proofErr w:type="spellStart"/>
            <w:r w:rsidRPr="00441C5C">
              <w:t>Theoretical</w:t>
            </w:r>
            <w:proofErr w:type="spellEnd"/>
            <w:r w:rsidRPr="00441C5C">
              <w:t xml:space="preserve"> Inheritance and </w:t>
            </w:r>
            <w:proofErr w:type="spellStart"/>
            <w:r w:rsidRPr="00441C5C">
              <w:t>What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It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Means</w:t>
            </w:r>
            <w:proofErr w:type="spellEnd"/>
            <w:r w:rsidRPr="00441C5C">
              <w:t xml:space="preserve"> to </w:t>
            </w:r>
            <w:proofErr w:type="spellStart"/>
            <w:r w:rsidRPr="00441C5C">
              <w:t>Be</w:t>
            </w:r>
            <w:proofErr w:type="spellEnd"/>
            <w:r w:rsidRPr="00441C5C">
              <w:t xml:space="preserve"> a Post-</w:t>
            </w:r>
            <w:proofErr w:type="spellStart"/>
            <w:r w:rsidRPr="00441C5C">
              <w:t>structural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Realist</w:t>
            </w:r>
            <w:proofErr w:type="spellEnd"/>
            <w:r w:rsidRPr="00441C5C">
              <w:t xml:space="preserve">. </w:t>
            </w:r>
            <w:proofErr w:type="spellStart"/>
            <w:r w:rsidRPr="00441C5C">
              <w:t>Paper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presented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at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4th </w:t>
            </w:r>
            <w:proofErr w:type="spellStart"/>
            <w:r w:rsidRPr="00441C5C">
              <w:t>annual</w:t>
            </w:r>
            <w:proofErr w:type="spellEnd"/>
            <w:r w:rsidRPr="00441C5C">
              <w:t xml:space="preserve"> CEEISA </w:t>
            </w:r>
            <w:proofErr w:type="spellStart"/>
            <w:r w:rsidRPr="00441C5C">
              <w:t>convention</w:t>
            </w:r>
            <w:proofErr w:type="spellEnd"/>
            <w:r w:rsidRPr="00441C5C">
              <w:t xml:space="preserve">, University,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Tartu</w:t>
            </w:r>
            <w:proofErr w:type="spellEnd"/>
            <w:r w:rsidRPr="00441C5C">
              <w:t>, 25 – 27 June 2006.</w:t>
            </w:r>
          </w:p>
          <w:p w:rsidR="00441C5C" w:rsidRPr="00441C5C" w:rsidRDefault="00441C5C" w:rsidP="00441C5C">
            <w:r w:rsidRPr="00441C5C">
              <w:t>· McDonald, M. 2008. „</w:t>
            </w:r>
            <w:proofErr w:type="spellStart"/>
            <w:r w:rsidRPr="00441C5C">
              <w:t>Securitization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Construction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European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Journal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International Relations 14 (4): 563–587.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Balzacq</w:t>
            </w:r>
            <w:proofErr w:type="spellEnd"/>
            <w:r w:rsidRPr="00441C5C">
              <w:t>, T. (</w:t>
            </w:r>
            <w:proofErr w:type="spellStart"/>
            <w:r w:rsidRPr="00441C5C">
              <w:t>ed</w:t>
            </w:r>
            <w:proofErr w:type="spellEnd"/>
            <w:r w:rsidRPr="00441C5C">
              <w:t xml:space="preserve">.). 2011. </w:t>
            </w:r>
            <w:proofErr w:type="spellStart"/>
            <w:r w:rsidRPr="00441C5C">
              <w:t>Securitization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Theory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How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Problems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Emerge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Dissolve</w:t>
            </w:r>
            <w:proofErr w:type="spellEnd"/>
            <w:r w:rsidRPr="00441C5C">
              <w:t xml:space="preserve">. </w:t>
            </w:r>
            <w:proofErr w:type="spellStart"/>
            <w:r w:rsidRPr="00441C5C">
              <w:t>Abingdon</w:t>
            </w:r>
            <w:proofErr w:type="spellEnd"/>
            <w:r w:rsidRPr="00441C5C">
              <w:t xml:space="preserve">, New York: </w:t>
            </w:r>
            <w:proofErr w:type="spellStart"/>
            <w:r w:rsidRPr="00441C5C">
              <w:t>Routledge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Hansen</w:t>
            </w:r>
            <w:proofErr w:type="spellEnd"/>
            <w:r w:rsidRPr="00441C5C">
              <w:t>, L. 2012. „</w:t>
            </w:r>
            <w:proofErr w:type="spellStart"/>
            <w:r w:rsidRPr="00441C5C">
              <w:t>Reconstructing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Desecuritisation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Normative-</w:t>
            </w:r>
            <w:proofErr w:type="spellStart"/>
            <w:r w:rsidRPr="00441C5C">
              <w:t>Political</w:t>
            </w:r>
            <w:proofErr w:type="spellEnd"/>
            <w:r w:rsidRPr="00441C5C">
              <w:t xml:space="preserve"> in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Copenhagen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School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Directions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for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How</w:t>
            </w:r>
            <w:proofErr w:type="spellEnd"/>
            <w:r w:rsidRPr="00441C5C">
              <w:t xml:space="preserve"> to </w:t>
            </w:r>
            <w:proofErr w:type="spellStart"/>
            <w:r w:rsidRPr="00441C5C">
              <w:t>Apply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It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Review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International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 38 (3): 525–546.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Cohen</w:t>
            </w:r>
            <w:proofErr w:type="spellEnd"/>
            <w:r w:rsidRPr="00441C5C">
              <w:t xml:space="preserve">, S. 2011/1972. Folk </w:t>
            </w:r>
            <w:proofErr w:type="spellStart"/>
            <w:r w:rsidRPr="00441C5C">
              <w:t>Devil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Moral</w:t>
            </w:r>
            <w:proofErr w:type="spellEnd"/>
            <w:r w:rsidRPr="00441C5C">
              <w:t xml:space="preserve"> Panic, Folk </w:t>
            </w:r>
            <w:proofErr w:type="spellStart"/>
            <w:r w:rsidRPr="00441C5C">
              <w:t>Devils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Moral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Panics</w:t>
            </w:r>
            <w:proofErr w:type="spellEnd"/>
            <w:r w:rsidRPr="00441C5C">
              <w:t xml:space="preserve">.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Creation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Mods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Rockers</w:t>
            </w:r>
            <w:proofErr w:type="spellEnd"/>
            <w:r w:rsidRPr="00441C5C">
              <w:t xml:space="preserve">. London/New York: </w:t>
            </w:r>
            <w:proofErr w:type="spellStart"/>
            <w:r w:rsidRPr="00441C5C">
              <w:t>Routledge</w:t>
            </w:r>
            <w:proofErr w:type="spellEnd"/>
            <w:r w:rsidRPr="00441C5C">
              <w:t xml:space="preserve"> (výběr).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McRobbie</w:t>
            </w:r>
            <w:proofErr w:type="spellEnd"/>
            <w:r w:rsidRPr="00441C5C">
              <w:t xml:space="preserve">, A. a </w:t>
            </w:r>
            <w:proofErr w:type="spellStart"/>
            <w:r w:rsidRPr="00441C5C">
              <w:t>Thornton</w:t>
            </w:r>
            <w:proofErr w:type="spellEnd"/>
            <w:r w:rsidRPr="00441C5C">
              <w:t>, S. 1995. „</w:t>
            </w:r>
            <w:proofErr w:type="spellStart"/>
            <w:r w:rsidRPr="00441C5C">
              <w:t>Rethinking</w:t>
            </w:r>
            <w:proofErr w:type="spellEnd"/>
            <w:r w:rsidRPr="00441C5C">
              <w:t xml:space="preserve"> ‚</w:t>
            </w:r>
            <w:proofErr w:type="spellStart"/>
            <w:r w:rsidRPr="00441C5C">
              <w:t>moral</w:t>
            </w:r>
            <w:proofErr w:type="spellEnd"/>
            <w:r w:rsidRPr="00441C5C">
              <w:t xml:space="preserve"> panic‘ </w:t>
            </w:r>
            <w:proofErr w:type="spellStart"/>
            <w:r w:rsidRPr="00441C5C">
              <w:t>for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multimediated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social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worlds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British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Journal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Sociology, 46 (4): 559-574.</w:t>
            </w:r>
          </w:p>
          <w:p w:rsidR="00441C5C" w:rsidRPr="00441C5C" w:rsidRDefault="00441C5C" w:rsidP="00441C5C">
            <w:r w:rsidRPr="00441C5C">
              <w:t> </w:t>
            </w:r>
          </w:p>
          <w:p w:rsidR="00441C5C" w:rsidRPr="00441C5C" w:rsidRDefault="00441C5C" w:rsidP="00441C5C">
            <w:r w:rsidRPr="00441C5C">
              <w:rPr>
                <w:b/>
                <w:bCs/>
              </w:rPr>
              <w:t>6) 23. 3. 2021: Proměny války</w:t>
            </w:r>
          </w:p>
          <w:p w:rsidR="00441C5C" w:rsidRPr="00441C5C" w:rsidRDefault="00441C5C" w:rsidP="00441C5C">
            <w:r w:rsidRPr="00441C5C">
              <w:t>Povinná literatura:</w:t>
            </w:r>
          </w:p>
          <w:p w:rsidR="00441C5C" w:rsidRPr="00441C5C" w:rsidRDefault="00441C5C" w:rsidP="00441C5C">
            <w:r w:rsidRPr="00441C5C">
              <w:t xml:space="preserve">• </w:t>
            </w:r>
            <w:proofErr w:type="spellStart"/>
            <w:r w:rsidRPr="00441C5C">
              <w:t>Kaldor</w:t>
            </w:r>
            <w:proofErr w:type="spellEnd"/>
            <w:r w:rsidRPr="00441C5C">
              <w:t xml:space="preserve">, M. New and </w:t>
            </w:r>
            <w:proofErr w:type="spellStart"/>
            <w:r w:rsidRPr="00441C5C">
              <w:t>Old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Wars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Organized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Violence</w:t>
            </w:r>
            <w:proofErr w:type="spellEnd"/>
            <w:r w:rsidRPr="00441C5C">
              <w:t xml:space="preserve"> in a </w:t>
            </w:r>
            <w:proofErr w:type="spellStart"/>
            <w:r w:rsidRPr="00441C5C">
              <w:t>Global</w:t>
            </w:r>
            <w:proofErr w:type="spellEnd"/>
            <w:r w:rsidRPr="00441C5C">
              <w:t xml:space="preserve"> Era, Second </w:t>
            </w:r>
            <w:proofErr w:type="spellStart"/>
            <w:r w:rsidRPr="00441C5C">
              <w:t>Edition</w:t>
            </w:r>
            <w:proofErr w:type="spellEnd"/>
            <w:r w:rsidRPr="00441C5C">
              <w:t xml:space="preserve">, Palo </w:t>
            </w:r>
            <w:proofErr w:type="spellStart"/>
            <w:r w:rsidRPr="00441C5C">
              <w:t>Alto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Stanford</w:t>
            </w:r>
            <w:proofErr w:type="spellEnd"/>
            <w:r w:rsidRPr="00441C5C">
              <w:t xml:space="preserve"> University </w:t>
            </w:r>
            <w:proofErr w:type="spellStart"/>
            <w:r w:rsidRPr="00441C5C">
              <w:t>Press</w:t>
            </w:r>
            <w:proofErr w:type="spellEnd"/>
            <w:r w:rsidRPr="00441C5C">
              <w:t>. (výběr)</w:t>
            </w:r>
          </w:p>
          <w:p w:rsidR="00441C5C" w:rsidRPr="00441C5C" w:rsidRDefault="00441C5C" w:rsidP="00441C5C">
            <w:r w:rsidRPr="00441C5C">
              <w:t>Nepovinná literatura:</w:t>
            </w:r>
          </w:p>
          <w:p w:rsidR="00441C5C" w:rsidRPr="00441C5C" w:rsidRDefault="00441C5C" w:rsidP="00441C5C">
            <w:r w:rsidRPr="00441C5C">
              <w:t>• Haluzík, R. 2018. Proč jdou chlapi do války, Praha: Dokořán (výběr)</w:t>
            </w:r>
          </w:p>
          <w:p w:rsidR="00441C5C" w:rsidRPr="00441C5C" w:rsidRDefault="00441C5C" w:rsidP="00441C5C">
            <w:r w:rsidRPr="00441C5C">
              <w:t xml:space="preserve">• </w:t>
            </w:r>
            <w:proofErr w:type="spellStart"/>
            <w:r w:rsidRPr="00441C5C">
              <w:t>Tilly</w:t>
            </w:r>
            <w:proofErr w:type="spellEnd"/>
            <w:r w:rsidRPr="00441C5C">
              <w:t>, Ch. 2006. Politika kolektivního násilí, Praha: Sociologické nakladatelství. (výběr)</w:t>
            </w:r>
          </w:p>
          <w:p w:rsidR="00441C5C" w:rsidRPr="00441C5C" w:rsidRDefault="00441C5C" w:rsidP="00441C5C">
            <w:r w:rsidRPr="00441C5C">
              <w:t> </w:t>
            </w:r>
          </w:p>
          <w:p w:rsidR="00441C5C" w:rsidRPr="00441C5C" w:rsidRDefault="00441C5C" w:rsidP="00441C5C">
            <w:r w:rsidRPr="00441C5C">
              <w:rPr>
                <w:b/>
                <w:bCs/>
              </w:rPr>
              <w:t>7) 30. 3. 2021: Terorismus</w:t>
            </w:r>
          </w:p>
          <w:p w:rsidR="00441C5C" w:rsidRPr="00441C5C" w:rsidRDefault="00441C5C" w:rsidP="00441C5C">
            <w:r w:rsidRPr="00441C5C">
              <w:t>Povinná literatura:</w:t>
            </w:r>
          </w:p>
          <w:p w:rsidR="00441C5C" w:rsidRPr="00441C5C" w:rsidRDefault="00441C5C" w:rsidP="00441C5C">
            <w:r w:rsidRPr="00441C5C">
              <w:t xml:space="preserve">• </w:t>
            </w:r>
            <w:proofErr w:type="spellStart"/>
            <w:r w:rsidRPr="00441C5C">
              <w:t>Rapoport</w:t>
            </w:r>
            <w:proofErr w:type="spellEnd"/>
            <w:r w:rsidRPr="00441C5C">
              <w:t xml:space="preserve">, D. C. 2004.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four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waves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modern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terrorism</w:t>
            </w:r>
            <w:proofErr w:type="spellEnd"/>
            <w:r w:rsidRPr="00441C5C">
              <w:t xml:space="preserve">. In A. K. </w:t>
            </w:r>
            <w:proofErr w:type="spellStart"/>
            <w:r w:rsidRPr="00441C5C">
              <w:t>Cronin</w:t>
            </w:r>
            <w:proofErr w:type="spellEnd"/>
            <w:r w:rsidRPr="00441C5C">
              <w:t xml:space="preserve"> &amp; J. M. </w:t>
            </w:r>
            <w:proofErr w:type="spellStart"/>
            <w:r w:rsidRPr="00441C5C">
              <w:t>Ludes</w:t>
            </w:r>
            <w:proofErr w:type="spellEnd"/>
            <w:r w:rsidRPr="00441C5C">
              <w:t xml:space="preserve"> (</w:t>
            </w:r>
            <w:proofErr w:type="spellStart"/>
            <w:r w:rsidRPr="00441C5C">
              <w:t>Eds</w:t>
            </w:r>
            <w:proofErr w:type="spellEnd"/>
            <w:r w:rsidRPr="00441C5C">
              <w:t xml:space="preserve">.), </w:t>
            </w:r>
            <w:proofErr w:type="spellStart"/>
            <w:r w:rsidRPr="00441C5C">
              <w:t>Attacking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terrorism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Elements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a grand </w:t>
            </w:r>
            <w:proofErr w:type="spellStart"/>
            <w:r w:rsidRPr="00441C5C">
              <w:t>strategy</w:t>
            </w:r>
            <w:proofErr w:type="spellEnd"/>
            <w:r w:rsidRPr="00441C5C">
              <w:t xml:space="preserve"> (pp. 46–73). Washington, DC, Georgetown University </w:t>
            </w:r>
            <w:proofErr w:type="spellStart"/>
            <w:r w:rsidRPr="00441C5C">
              <w:t>Press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>Nepovinná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Ditrych</w:t>
            </w:r>
            <w:proofErr w:type="spellEnd"/>
            <w:r w:rsidRPr="00441C5C">
              <w:t xml:space="preserve">, O. 2014 </w:t>
            </w:r>
            <w:proofErr w:type="spellStart"/>
            <w:r w:rsidRPr="00441C5C">
              <w:t>Tracing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Discourses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Terrorism</w:t>
            </w:r>
            <w:proofErr w:type="spellEnd"/>
            <w:r w:rsidRPr="00441C5C">
              <w:t xml:space="preserve">: Genealogy, Identity and </w:t>
            </w:r>
            <w:proofErr w:type="spellStart"/>
            <w:r w:rsidRPr="00441C5C">
              <w:t>State</w:t>
            </w:r>
            <w:proofErr w:type="spellEnd"/>
            <w:r w:rsidRPr="00441C5C">
              <w:t xml:space="preserve">. London: </w:t>
            </w:r>
            <w:proofErr w:type="spellStart"/>
            <w:r w:rsidRPr="00441C5C">
              <w:t>Palgrave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Macmillan</w:t>
            </w:r>
            <w:proofErr w:type="spellEnd"/>
            <w:r w:rsidRPr="00441C5C">
              <w:t>. (výběr)</w:t>
            </w:r>
          </w:p>
          <w:p w:rsidR="00441C5C" w:rsidRPr="00441C5C" w:rsidRDefault="00441C5C" w:rsidP="00441C5C">
            <w:r w:rsidRPr="00441C5C">
              <w:t>· Schmid, A. 2004. „</w:t>
            </w:r>
            <w:proofErr w:type="spellStart"/>
            <w:r w:rsidRPr="00441C5C">
              <w:t>Terrorism</w:t>
            </w:r>
            <w:proofErr w:type="spellEnd"/>
            <w:r w:rsidRPr="00441C5C">
              <w:t xml:space="preserve"> –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Definitional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Problem</w:t>
            </w:r>
            <w:proofErr w:type="spellEnd"/>
            <w:r w:rsidRPr="00441C5C">
              <w:t xml:space="preserve">.“ Case Western </w:t>
            </w:r>
            <w:proofErr w:type="spellStart"/>
            <w:r w:rsidRPr="00441C5C">
              <w:t>Reserve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Journal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International </w:t>
            </w:r>
            <w:proofErr w:type="spellStart"/>
            <w:r w:rsidRPr="00441C5C">
              <w:t>Law</w:t>
            </w:r>
            <w:proofErr w:type="spellEnd"/>
            <w:r w:rsidRPr="00441C5C">
              <w:t xml:space="preserve"> 36 (2): 375–419.</w:t>
            </w:r>
          </w:p>
          <w:p w:rsidR="00441C5C" w:rsidRPr="00441C5C" w:rsidRDefault="00441C5C" w:rsidP="00441C5C">
            <w:r w:rsidRPr="00441C5C">
              <w:t> </w:t>
            </w:r>
          </w:p>
          <w:p w:rsidR="00441C5C" w:rsidRPr="00441C5C" w:rsidRDefault="00441C5C" w:rsidP="00441C5C">
            <w:r w:rsidRPr="00441C5C">
              <w:rPr>
                <w:b/>
                <w:bCs/>
              </w:rPr>
              <w:t xml:space="preserve">8) 6. 4. 2021: </w:t>
            </w:r>
            <w:proofErr w:type="spellStart"/>
            <w:r w:rsidRPr="00441C5C">
              <w:rPr>
                <w:b/>
                <w:bCs/>
              </w:rPr>
              <w:t>Failed</w:t>
            </w:r>
            <w:proofErr w:type="spellEnd"/>
            <w:r w:rsidRPr="00441C5C">
              <w:rPr>
                <w:b/>
                <w:bCs/>
              </w:rPr>
              <w:t xml:space="preserve"> </w:t>
            </w:r>
            <w:proofErr w:type="spellStart"/>
            <w:r w:rsidRPr="00441C5C">
              <w:rPr>
                <w:b/>
                <w:bCs/>
              </w:rPr>
              <w:t>states</w:t>
            </w:r>
            <w:proofErr w:type="spellEnd"/>
            <w:r w:rsidRPr="00441C5C">
              <w:rPr>
                <w:b/>
                <w:bCs/>
              </w:rPr>
              <w:t xml:space="preserve"> a humanitární intervence</w:t>
            </w:r>
          </w:p>
          <w:p w:rsidR="00441C5C" w:rsidRPr="00441C5C" w:rsidRDefault="00441C5C" w:rsidP="00441C5C">
            <w:r w:rsidRPr="00441C5C">
              <w:t>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Newman</w:t>
            </w:r>
            <w:proofErr w:type="spellEnd"/>
            <w:r w:rsidRPr="00441C5C">
              <w:t>, E. 2009. „</w:t>
            </w:r>
            <w:proofErr w:type="spellStart"/>
            <w:r w:rsidRPr="00441C5C">
              <w:t>Failed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States</w:t>
            </w:r>
            <w:proofErr w:type="spellEnd"/>
            <w:r w:rsidRPr="00441C5C">
              <w:t xml:space="preserve"> and International </w:t>
            </w:r>
            <w:proofErr w:type="spellStart"/>
            <w:r w:rsidRPr="00441C5C">
              <w:t>Order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Constructing</w:t>
            </w:r>
            <w:proofErr w:type="spellEnd"/>
            <w:r w:rsidRPr="00441C5C">
              <w:t xml:space="preserve"> a Post-</w:t>
            </w:r>
            <w:proofErr w:type="spellStart"/>
            <w:r w:rsidRPr="00441C5C">
              <w:t>Westphalian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World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Contemporary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Policy</w:t>
            </w:r>
            <w:proofErr w:type="spellEnd"/>
            <w:r w:rsidRPr="00441C5C">
              <w:t xml:space="preserve"> 30 (3): 421–443.</w:t>
            </w:r>
          </w:p>
          <w:p w:rsidR="00441C5C" w:rsidRPr="00441C5C" w:rsidRDefault="00441C5C" w:rsidP="00441C5C">
            <w:r w:rsidRPr="00441C5C">
              <w:t xml:space="preserve">· Barša, P. 2008. Humanitární intervence. </w:t>
            </w:r>
            <w:proofErr w:type="gramStart"/>
            <w:r w:rsidRPr="00441C5C">
              <w:t>s.</w:t>
            </w:r>
            <w:proofErr w:type="gramEnd"/>
            <w:r w:rsidRPr="00441C5C">
              <w:t xml:space="preserve"> 501–518 in P. Barša a O. Císař. Anarchie a řád v mezinárodní politice. Praha: Portál.</w:t>
            </w:r>
          </w:p>
          <w:p w:rsidR="00441C5C" w:rsidRPr="00441C5C" w:rsidRDefault="00441C5C" w:rsidP="00441C5C">
            <w:r w:rsidRPr="00441C5C">
              <w:t> </w:t>
            </w:r>
          </w:p>
          <w:p w:rsidR="00441C5C" w:rsidRPr="00441C5C" w:rsidRDefault="00441C5C" w:rsidP="00441C5C">
            <w:r w:rsidRPr="00441C5C">
              <w:t>Nepovinná literatura:</w:t>
            </w:r>
          </w:p>
          <w:p w:rsidR="00441C5C" w:rsidRPr="00441C5C" w:rsidRDefault="00441C5C" w:rsidP="00441C5C">
            <w:r w:rsidRPr="00441C5C">
              <w:t>· Bílková, V. 2010. Odpovědnost za ochranu (R2P): nová naděje nebo staré pokrytectví? Praha: Ediční oddělení PF UK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Fragile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States</w:t>
            </w:r>
            <w:proofErr w:type="spellEnd"/>
            <w:r w:rsidRPr="00441C5C">
              <w:t xml:space="preserve"> Index 2018, http://fundforpeace.org/fsi/2018/04/24/fragile-states-index-2018-annual-report/</w:t>
            </w:r>
          </w:p>
          <w:p w:rsidR="00441C5C" w:rsidRPr="00441C5C" w:rsidRDefault="00441C5C" w:rsidP="00441C5C">
            <w:r w:rsidRPr="00441C5C">
              <w:t> </w:t>
            </w:r>
          </w:p>
          <w:p w:rsidR="00441C5C" w:rsidRPr="00441C5C" w:rsidRDefault="00441C5C" w:rsidP="00441C5C">
            <w:r w:rsidRPr="00441C5C">
              <w:rPr>
                <w:b/>
                <w:bCs/>
              </w:rPr>
              <w:t>9) 13. 4. 2021: Kapitalismus dohledu a „hybridní hrozby“</w:t>
            </w:r>
          </w:p>
          <w:p w:rsidR="00441C5C" w:rsidRPr="00441C5C" w:rsidRDefault="00441C5C" w:rsidP="00441C5C">
            <w:r w:rsidRPr="00441C5C">
              <w:t>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Zuboff</w:t>
            </w:r>
            <w:proofErr w:type="spellEnd"/>
            <w:r w:rsidRPr="00441C5C">
              <w:t xml:space="preserve">, S. (2018)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Age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Surveillance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Capitalism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Fight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for</w:t>
            </w:r>
            <w:proofErr w:type="spellEnd"/>
            <w:r w:rsidRPr="00441C5C">
              <w:t xml:space="preserve"> a </w:t>
            </w:r>
            <w:proofErr w:type="spellStart"/>
            <w:r w:rsidRPr="00441C5C">
              <w:t>Human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Future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at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New </w:t>
            </w:r>
            <w:proofErr w:type="spellStart"/>
            <w:r w:rsidRPr="00441C5C">
              <w:t>Frontier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Power</w:t>
            </w:r>
            <w:proofErr w:type="spellEnd"/>
            <w:r w:rsidRPr="00441C5C">
              <w:t xml:space="preserve"> (</w:t>
            </w:r>
            <w:proofErr w:type="spellStart"/>
            <w:r w:rsidRPr="00441C5C">
              <w:t>Campus</w:t>
            </w:r>
            <w:proofErr w:type="spellEnd"/>
            <w:r w:rsidRPr="00441C5C">
              <w:t xml:space="preserve">, 2018; </w:t>
            </w:r>
            <w:proofErr w:type="spellStart"/>
            <w:r w:rsidRPr="00441C5C">
              <w:t>PublicAffairs</w:t>
            </w:r>
            <w:proofErr w:type="spellEnd"/>
            <w:r w:rsidRPr="00441C5C">
              <w:t>, 2019), (výběr)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Galeotti</w:t>
            </w:r>
            <w:proofErr w:type="spellEnd"/>
            <w:r w:rsidRPr="00441C5C">
              <w:t xml:space="preserve">, M. (2018).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mythical</w:t>
            </w:r>
            <w:proofErr w:type="spellEnd"/>
            <w:r w:rsidRPr="00441C5C">
              <w:t xml:space="preserve"> “</w:t>
            </w:r>
            <w:proofErr w:type="spellStart"/>
            <w:r w:rsidRPr="00441C5C">
              <w:t>Gerasimov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Doctrine</w:t>
            </w:r>
            <w:proofErr w:type="spellEnd"/>
            <w:r w:rsidRPr="00441C5C">
              <w:t xml:space="preserve">” and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language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threat</w:t>
            </w:r>
            <w:proofErr w:type="spellEnd"/>
            <w:r w:rsidRPr="00441C5C">
              <w:t xml:space="preserve">. </w:t>
            </w:r>
            <w:proofErr w:type="spellStart"/>
            <w:r w:rsidRPr="00441C5C">
              <w:t>Critical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 on </w:t>
            </w:r>
            <w:proofErr w:type="spellStart"/>
            <w:r w:rsidRPr="00441C5C">
              <w:t>Security</w:t>
            </w:r>
            <w:proofErr w:type="spellEnd"/>
            <w:r w:rsidRPr="00441C5C">
              <w:t>, 1–5. doi:10.1080/21624887.2018.1441623</w:t>
            </w:r>
          </w:p>
          <w:p w:rsidR="00441C5C" w:rsidRPr="00441C5C" w:rsidRDefault="00441C5C" w:rsidP="00441C5C">
            <w:r w:rsidRPr="00441C5C">
              <w:t>  </w:t>
            </w:r>
          </w:p>
          <w:p w:rsidR="00441C5C" w:rsidRPr="00441C5C" w:rsidRDefault="00441C5C" w:rsidP="00441C5C">
            <w:r w:rsidRPr="00441C5C">
              <w:rPr>
                <w:b/>
                <w:bCs/>
              </w:rPr>
              <w:t>10) 20. 4. 2021: Kriminalita a organizovaný zločin</w:t>
            </w:r>
          </w:p>
          <w:p w:rsidR="00441C5C" w:rsidRPr="00441C5C" w:rsidRDefault="00441C5C" w:rsidP="00441C5C">
            <w:r w:rsidRPr="00441C5C">
              <w:t>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Morrisson</w:t>
            </w:r>
            <w:proofErr w:type="spellEnd"/>
            <w:r w:rsidRPr="00441C5C">
              <w:t>, W. 2009. „</w:t>
            </w:r>
            <w:proofErr w:type="spellStart"/>
            <w:r w:rsidRPr="00441C5C">
              <w:t>What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Is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Crime</w:t>
            </w:r>
            <w:proofErr w:type="spellEnd"/>
            <w:r w:rsidRPr="00441C5C">
              <w:t xml:space="preserve">? </w:t>
            </w:r>
            <w:proofErr w:type="spellStart"/>
            <w:r w:rsidRPr="00441C5C">
              <w:t>Contrasting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Definitions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Perspectives</w:t>
            </w:r>
            <w:proofErr w:type="spellEnd"/>
            <w:r w:rsidRPr="00441C5C">
              <w:t xml:space="preserve">.“ Pp. 3–22 in C. Hale, K. </w:t>
            </w:r>
            <w:proofErr w:type="spellStart"/>
            <w:r w:rsidRPr="00441C5C">
              <w:t>Hayward</w:t>
            </w:r>
            <w:proofErr w:type="spellEnd"/>
            <w:r w:rsidRPr="00441C5C">
              <w:t xml:space="preserve">, A. </w:t>
            </w:r>
            <w:proofErr w:type="spellStart"/>
            <w:r w:rsidRPr="00441C5C">
              <w:t>Wahidin</w:t>
            </w:r>
            <w:proofErr w:type="spellEnd"/>
            <w:r w:rsidRPr="00441C5C">
              <w:t xml:space="preserve"> a E. </w:t>
            </w:r>
            <w:proofErr w:type="spellStart"/>
            <w:r w:rsidRPr="00441C5C">
              <w:t>Wincup</w:t>
            </w:r>
            <w:proofErr w:type="spellEnd"/>
            <w:r w:rsidRPr="00441C5C">
              <w:t xml:space="preserve"> (</w:t>
            </w:r>
            <w:proofErr w:type="spellStart"/>
            <w:r w:rsidRPr="00441C5C">
              <w:t>eds</w:t>
            </w:r>
            <w:proofErr w:type="spellEnd"/>
            <w:r w:rsidRPr="00441C5C">
              <w:t xml:space="preserve">.). </w:t>
            </w:r>
            <w:proofErr w:type="spellStart"/>
            <w:r w:rsidRPr="00441C5C">
              <w:t>Criminology</w:t>
            </w:r>
            <w:proofErr w:type="spellEnd"/>
            <w:r w:rsidRPr="00441C5C">
              <w:t xml:space="preserve">. Second </w:t>
            </w:r>
            <w:proofErr w:type="spellStart"/>
            <w:r w:rsidRPr="00441C5C">
              <w:t>Edition</w:t>
            </w:r>
            <w:proofErr w:type="spellEnd"/>
            <w:r w:rsidRPr="00441C5C">
              <w:t xml:space="preserve">. Oxford: Oxford University </w:t>
            </w:r>
            <w:proofErr w:type="spellStart"/>
            <w:r w:rsidRPr="00441C5C">
              <w:t>Press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>· Kupka. P. 2017. Násilí, podvody a každodennost. Jak zkoumat organizovaný zločin? Brno: Centrum pro studium demokracie a kultury, Masarykova univerzita (s. 13–53).</w:t>
            </w:r>
          </w:p>
          <w:p w:rsidR="00441C5C" w:rsidRPr="00441C5C" w:rsidRDefault="00441C5C" w:rsidP="00441C5C">
            <w:r w:rsidRPr="00441C5C">
              <w:t>Nepovinná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Hulsman</w:t>
            </w:r>
            <w:proofErr w:type="spellEnd"/>
            <w:r w:rsidRPr="00441C5C">
              <w:t>, L. 1986. „</w:t>
            </w:r>
            <w:proofErr w:type="spellStart"/>
            <w:r w:rsidRPr="00441C5C">
              <w:t>Critical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Criminology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Concept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Crime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Contemporary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Crises</w:t>
            </w:r>
            <w:proofErr w:type="spellEnd"/>
            <w:r w:rsidRPr="00441C5C">
              <w:t xml:space="preserve"> 10 (3–4): 63–80.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Sheptycki</w:t>
            </w:r>
            <w:proofErr w:type="spellEnd"/>
            <w:r w:rsidRPr="00441C5C">
              <w:t>, J. 2007. „</w:t>
            </w:r>
            <w:proofErr w:type="spellStart"/>
            <w:r w:rsidRPr="00441C5C">
              <w:t>Criminology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Transnational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Condition</w:t>
            </w:r>
            <w:proofErr w:type="spellEnd"/>
            <w:r w:rsidRPr="00441C5C">
              <w:t xml:space="preserve">: A </w:t>
            </w:r>
            <w:proofErr w:type="spellStart"/>
            <w:r w:rsidRPr="00441C5C">
              <w:t>Contribution</w:t>
            </w:r>
            <w:proofErr w:type="spellEnd"/>
            <w:r w:rsidRPr="00441C5C">
              <w:t xml:space="preserve"> to International </w:t>
            </w:r>
            <w:proofErr w:type="spellStart"/>
            <w:r w:rsidRPr="00441C5C">
              <w:t>Political</w:t>
            </w:r>
            <w:proofErr w:type="spellEnd"/>
            <w:r w:rsidRPr="00441C5C">
              <w:t xml:space="preserve"> Sociology.“ International </w:t>
            </w:r>
            <w:proofErr w:type="spellStart"/>
            <w:r w:rsidRPr="00441C5C">
              <w:t>Political</w:t>
            </w:r>
            <w:proofErr w:type="spellEnd"/>
            <w:r w:rsidRPr="00441C5C">
              <w:t xml:space="preserve"> Sociology 1 (4): 391–406.</w:t>
            </w:r>
          </w:p>
          <w:p w:rsidR="00441C5C" w:rsidRPr="00441C5C" w:rsidRDefault="00441C5C" w:rsidP="00441C5C">
            <w:r w:rsidRPr="00441C5C">
              <w:t> </w:t>
            </w:r>
          </w:p>
          <w:p w:rsidR="00441C5C" w:rsidRPr="00441C5C" w:rsidRDefault="00441C5C" w:rsidP="00441C5C">
            <w:r w:rsidRPr="00441C5C">
              <w:rPr>
                <w:b/>
                <w:bCs/>
              </w:rPr>
              <w:t>11) 27. 4. 2021: Bezpečnost a sociální vyloučení</w:t>
            </w:r>
          </w:p>
          <w:p w:rsidR="00441C5C" w:rsidRPr="00441C5C" w:rsidRDefault="00441C5C" w:rsidP="00441C5C">
            <w:r w:rsidRPr="00441C5C">
              <w:t>Povinná literatura:</w:t>
            </w:r>
          </w:p>
          <w:p w:rsidR="00441C5C" w:rsidRPr="00441C5C" w:rsidRDefault="00441C5C" w:rsidP="00441C5C">
            <w:r w:rsidRPr="00441C5C">
              <w:t xml:space="preserve">· Walach, V. 2018. „Zdroje nebezpečnosti v sociálně vyloučené lokalitě.“ Sociologický Časopis / Czech </w:t>
            </w:r>
            <w:proofErr w:type="spellStart"/>
            <w:r w:rsidRPr="00441C5C">
              <w:t>Sociological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Review</w:t>
            </w:r>
            <w:proofErr w:type="spellEnd"/>
            <w:r w:rsidRPr="00441C5C">
              <w:t xml:space="preserve"> 54 (2): 253–76.</w:t>
            </w:r>
          </w:p>
          <w:p w:rsidR="00441C5C" w:rsidRPr="00441C5C" w:rsidRDefault="00441C5C" w:rsidP="00441C5C">
            <w:r w:rsidRPr="00441C5C">
              <w:t>Nepovinná literatura:</w:t>
            </w:r>
          </w:p>
          <w:p w:rsidR="00441C5C" w:rsidRPr="00441C5C" w:rsidRDefault="00441C5C" w:rsidP="00441C5C">
            <w:r w:rsidRPr="00441C5C">
              <w:t xml:space="preserve">· Ort, J., Š. </w:t>
            </w:r>
            <w:proofErr w:type="spellStart"/>
            <w:r w:rsidRPr="00441C5C">
              <w:t>Ripka</w:t>
            </w:r>
            <w:proofErr w:type="spellEnd"/>
            <w:r w:rsidRPr="00441C5C">
              <w:t xml:space="preserve"> a F. Pospíšil. 2016. Bezpečnost a </w:t>
            </w:r>
            <w:proofErr w:type="spellStart"/>
            <w:r w:rsidRPr="00441C5C">
              <w:t>sekuritizace</w:t>
            </w:r>
            <w:proofErr w:type="spellEnd"/>
            <w:r w:rsidRPr="00441C5C">
              <w:t xml:space="preserve"> Romů v České republice. Zpráva z kvalitativního výzkumu. Praha: Otevřená společnost, o.p.s.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Trlifajová</w:t>
            </w:r>
            <w:proofErr w:type="spellEnd"/>
            <w:r w:rsidRPr="00441C5C">
              <w:t>, L., F. Pospíšil, P. Kučera, B. Matysová a B. Kissová. 2015. Analýza politik nulové tolerance v Litvínově a Duchcově. Praha: SPOT – Centrum pro společenské otázky.</w:t>
            </w:r>
          </w:p>
          <w:p w:rsidR="00441C5C" w:rsidRPr="00441C5C" w:rsidRDefault="00441C5C" w:rsidP="00441C5C">
            <w:r w:rsidRPr="00441C5C">
              <w:t xml:space="preserve">· Walach, V. 2016. „(Ne)bezpeční Romové? Analýza významu bezpečnosti ve vztahu k Romům ve vládních dokumentech České a Slovenské republiky.“ </w:t>
            </w:r>
            <w:proofErr w:type="spellStart"/>
            <w:r w:rsidRPr="00441C5C">
              <w:t>Sociológia</w:t>
            </w:r>
            <w:proofErr w:type="spellEnd"/>
            <w:r w:rsidRPr="00441C5C">
              <w:t xml:space="preserve"> 48 (2): 172–191.</w:t>
            </w:r>
          </w:p>
          <w:p w:rsidR="00441C5C" w:rsidRPr="00441C5C" w:rsidRDefault="00441C5C" w:rsidP="00441C5C">
            <w:r w:rsidRPr="00441C5C">
              <w:t> </w:t>
            </w:r>
          </w:p>
          <w:p w:rsidR="00441C5C" w:rsidRPr="00441C5C" w:rsidRDefault="00441C5C" w:rsidP="00441C5C">
            <w:r w:rsidRPr="00441C5C">
              <w:rPr>
                <w:b/>
                <w:bCs/>
              </w:rPr>
              <w:t>12) 4. 5. 2021: Extremismus a radikalismus</w:t>
            </w:r>
          </w:p>
          <w:p w:rsidR="00441C5C" w:rsidRPr="00441C5C" w:rsidRDefault="00441C5C" w:rsidP="00441C5C">
            <w:r w:rsidRPr="00441C5C">
              <w:t>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Carter</w:t>
            </w:r>
            <w:proofErr w:type="spellEnd"/>
            <w:r w:rsidRPr="00441C5C">
              <w:t>, E. 2018. „</w:t>
            </w:r>
            <w:proofErr w:type="spellStart"/>
            <w:r w:rsidRPr="00441C5C">
              <w:t>Right-wing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Extremism</w:t>
            </w:r>
            <w:proofErr w:type="spellEnd"/>
            <w:r w:rsidRPr="00441C5C">
              <w:t>/</w:t>
            </w:r>
            <w:proofErr w:type="spellStart"/>
            <w:r w:rsidRPr="00441C5C">
              <w:t>Radicalism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Reconstructing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Concept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Journal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Political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Ideologies</w:t>
            </w:r>
            <w:proofErr w:type="spellEnd"/>
            <w:r w:rsidRPr="00441C5C">
              <w:t xml:space="preserve"> 23 (2): 157–182.</w:t>
            </w:r>
          </w:p>
          <w:p w:rsidR="00441C5C" w:rsidRPr="00441C5C" w:rsidRDefault="00441C5C" w:rsidP="00441C5C">
            <w:r w:rsidRPr="00441C5C">
              <w:t>· Charvát, J. 2017. „Pojem extremismus a jeho aktuální možnosti použití v České republice.“ Bezpečnostní teorie a praxe 18 (2): 91–108.</w:t>
            </w:r>
          </w:p>
          <w:p w:rsidR="00441C5C" w:rsidRPr="00441C5C" w:rsidRDefault="00441C5C" w:rsidP="00441C5C">
            <w:r w:rsidRPr="00441C5C">
              <w:t>Nepovinná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Backes</w:t>
            </w:r>
            <w:proofErr w:type="spellEnd"/>
            <w:r w:rsidRPr="00441C5C">
              <w:t>, U. 2009. „</w:t>
            </w:r>
            <w:proofErr w:type="spellStart"/>
            <w:r w:rsidRPr="00441C5C">
              <w:t>Meaning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Forms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Political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Extremism</w:t>
            </w:r>
            <w:proofErr w:type="spellEnd"/>
            <w:r w:rsidRPr="00441C5C">
              <w:t>.“ Středoevropské politické studie/</w:t>
            </w:r>
            <w:proofErr w:type="spellStart"/>
            <w:r w:rsidRPr="00441C5C">
              <w:t>Central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European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Political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Review</w:t>
            </w:r>
            <w:proofErr w:type="spellEnd"/>
            <w:r w:rsidRPr="00441C5C">
              <w:t xml:space="preserve"> 9 (4): 242–262.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Nociar</w:t>
            </w:r>
            <w:proofErr w:type="spellEnd"/>
            <w:r w:rsidRPr="00441C5C">
              <w:t>, T. 2015. „</w:t>
            </w:r>
            <w:proofErr w:type="spellStart"/>
            <w:r w:rsidRPr="00441C5C">
              <w:t>Politológ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ako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lekár</w:t>
            </w:r>
            <w:proofErr w:type="spellEnd"/>
            <w:r w:rsidRPr="00441C5C">
              <w:t xml:space="preserve">, </w:t>
            </w:r>
            <w:proofErr w:type="spellStart"/>
            <w:r w:rsidRPr="00441C5C">
              <w:t>psychiater</w:t>
            </w:r>
            <w:proofErr w:type="spellEnd"/>
            <w:r w:rsidRPr="00441C5C">
              <w:t xml:space="preserve"> a ideologický </w:t>
            </w:r>
            <w:proofErr w:type="spellStart"/>
            <w:r w:rsidRPr="00441C5C">
              <w:t>štátny</w:t>
            </w:r>
            <w:proofErr w:type="spellEnd"/>
            <w:r w:rsidRPr="00441C5C">
              <w:t xml:space="preserve"> aparát: kritický </w:t>
            </w:r>
            <w:proofErr w:type="spellStart"/>
            <w:r w:rsidRPr="00441C5C">
              <w:t>pohľad</w:t>
            </w:r>
            <w:proofErr w:type="spellEnd"/>
            <w:r w:rsidRPr="00441C5C">
              <w:t xml:space="preserve"> na problematické aspekty </w:t>
            </w:r>
            <w:proofErr w:type="spellStart"/>
            <w:r w:rsidRPr="00441C5C">
              <w:t>terminológie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politickej</w:t>
            </w:r>
            <w:proofErr w:type="spellEnd"/>
            <w:r w:rsidRPr="00441C5C">
              <w:t xml:space="preserve"> krajnosti.“ REXTER: časopis pro výzkum radikalismu, extremismu a terorismu 13 (1): 49–92.</w:t>
            </w:r>
          </w:p>
          <w:p w:rsidR="00441C5C" w:rsidRPr="00441C5C" w:rsidRDefault="00441C5C" w:rsidP="00441C5C">
            <w:r w:rsidRPr="00441C5C">
              <w:t>· Krčál, P. 2016. „Politický extremismus a radikalismus jako jedny z referenčních bodů státních aparátů na úrovni diskurzivní produkce.“ REXTER: časopis pro výzkum radikalismu, extremismu a terorismu 14 (1): 92–137.</w:t>
            </w:r>
          </w:p>
          <w:p w:rsidR="00441C5C" w:rsidRPr="00441C5C" w:rsidRDefault="00441C5C" w:rsidP="00441C5C">
            <w:r w:rsidRPr="00441C5C">
              <w:t> </w:t>
            </w:r>
          </w:p>
          <w:p w:rsidR="00441C5C" w:rsidRPr="00441C5C" w:rsidRDefault="00441C5C" w:rsidP="00441C5C">
            <w:r w:rsidRPr="00441C5C">
              <w:rPr>
                <w:b/>
                <w:bCs/>
              </w:rPr>
              <w:t>13) 11. 5. 2021: Etika bezpečnostního výzkumu a role bezpečnostní expertizy</w:t>
            </w:r>
          </w:p>
          <w:p w:rsidR="00441C5C" w:rsidRPr="00441C5C" w:rsidRDefault="00441C5C" w:rsidP="00441C5C">
            <w:r w:rsidRPr="00441C5C">
              <w:t>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Nyman</w:t>
            </w:r>
            <w:proofErr w:type="spellEnd"/>
            <w:r w:rsidRPr="00441C5C">
              <w:t>, J. 2016. „</w:t>
            </w:r>
            <w:proofErr w:type="spellStart"/>
            <w:r w:rsidRPr="00441C5C">
              <w:t>What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Is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Value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? </w:t>
            </w:r>
            <w:proofErr w:type="spellStart"/>
            <w:r w:rsidRPr="00441C5C">
              <w:t>Contextualising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Negative/Positive </w:t>
            </w:r>
            <w:proofErr w:type="spellStart"/>
            <w:r w:rsidRPr="00441C5C">
              <w:t>Debate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Review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International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 42 (5): 821–839.</w:t>
            </w:r>
          </w:p>
          <w:p w:rsidR="00441C5C" w:rsidRPr="00441C5C" w:rsidRDefault="00441C5C" w:rsidP="00441C5C">
            <w:r w:rsidRPr="00441C5C">
              <w:t>· Browning, Ch. S., M. McDonald. 2013. „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Future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Critical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Ethics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Politics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European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Journal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International Relations 19 (2): 235–255.</w:t>
            </w:r>
          </w:p>
          <w:p w:rsidR="00441C5C" w:rsidRPr="00441C5C" w:rsidRDefault="00441C5C" w:rsidP="00441C5C">
            <w:r w:rsidRPr="00441C5C">
              <w:t>Nepovinná literatura: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Eriksson</w:t>
            </w:r>
            <w:proofErr w:type="spellEnd"/>
            <w:r w:rsidRPr="00441C5C">
              <w:t>, J. 1999. „</w:t>
            </w:r>
            <w:proofErr w:type="spellStart"/>
            <w:r w:rsidRPr="00441C5C">
              <w:t>Observers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or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Advocates</w:t>
            </w:r>
            <w:proofErr w:type="spellEnd"/>
            <w:r w:rsidRPr="00441C5C">
              <w:t xml:space="preserve">? On </w:t>
            </w:r>
            <w:proofErr w:type="spellStart"/>
            <w:r w:rsidRPr="00441C5C">
              <w:t>the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Political</w:t>
            </w:r>
            <w:proofErr w:type="spellEnd"/>
            <w:r w:rsidRPr="00441C5C">
              <w:t xml:space="preserve"> Role </w:t>
            </w:r>
            <w:proofErr w:type="spellStart"/>
            <w:r w:rsidRPr="00441C5C">
              <w:t>of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Analysts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Cooperation</w:t>
            </w:r>
            <w:proofErr w:type="spellEnd"/>
            <w:r w:rsidRPr="00441C5C">
              <w:t xml:space="preserve"> and </w:t>
            </w:r>
            <w:proofErr w:type="spellStart"/>
            <w:r w:rsidRPr="00441C5C">
              <w:t>Conflict</w:t>
            </w:r>
            <w:proofErr w:type="spellEnd"/>
            <w:r w:rsidRPr="00441C5C">
              <w:t xml:space="preserve"> 34 (3): 311–330.</w:t>
            </w:r>
          </w:p>
          <w:p w:rsidR="00441C5C" w:rsidRPr="00441C5C" w:rsidRDefault="00441C5C" w:rsidP="00441C5C">
            <w:r w:rsidRPr="00441C5C">
              <w:t xml:space="preserve">· </w:t>
            </w:r>
            <w:proofErr w:type="spellStart"/>
            <w:r w:rsidRPr="00441C5C">
              <w:t>Nyman</w:t>
            </w:r>
            <w:proofErr w:type="spellEnd"/>
            <w:r w:rsidRPr="00441C5C">
              <w:t xml:space="preserve">, J. a </w:t>
            </w:r>
            <w:proofErr w:type="spellStart"/>
            <w:r w:rsidRPr="00441C5C">
              <w:t>A</w:t>
            </w:r>
            <w:proofErr w:type="spellEnd"/>
            <w:r w:rsidRPr="00441C5C">
              <w:t xml:space="preserve">. </w:t>
            </w:r>
            <w:proofErr w:type="spellStart"/>
            <w:r w:rsidRPr="00441C5C">
              <w:t>Burke</w:t>
            </w:r>
            <w:proofErr w:type="spellEnd"/>
            <w:r w:rsidRPr="00441C5C">
              <w:t xml:space="preserve"> (</w:t>
            </w:r>
            <w:proofErr w:type="spellStart"/>
            <w:r w:rsidRPr="00441C5C">
              <w:t>eds</w:t>
            </w:r>
            <w:proofErr w:type="spellEnd"/>
            <w:r w:rsidRPr="00441C5C">
              <w:t xml:space="preserve">.). 2016. </w:t>
            </w:r>
            <w:proofErr w:type="spellStart"/>
            <w:r w:rsidRPr="00441C5C">
              <w:t>Ethical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Studies</w:t>
            </w:r>
            <w:proofErr w:type="spellEnd"/>
            <w:r w:rsidRPr="00441C5C">
              <w:t xml:space="preserve">: A New </w:t>
            </w:r>
            <w:proofErr w:type="spellStart"/>
            <w:r w:rsidRPr="00441C5C">
              <w:t>Research</w:t>
            </w:r>
            <w:proofErr w:type="spellEnd"/>
            <w:r w:rsidRPr="00441C5C">
              <w:t xml:space="preserve"> Agenda. London: </w:t>
            </w:r>
            <w:proofErr w:type="spellStart"/>
            <w:r w:rsidRPr="00441C5C">
              <w:t>Routledge</w:t>
            </w:r>
            <w:proofErr w:type="spellEnd"/>
            <w:r w:rsidRPr="00441C5C">
              <w:t>.</w:t>
            </w:r>
          </w:p>
          <w:p w:rsidR="00441C5C" w:rsidRPr="00441C5C" w:rsidRDefault="00441C5C" w:rsidP="00441C5C">
            <w:r w:rsidRPr="00441C5C">
              <w:t xml:space="preserve">· De </w:t>
            </w:r>
            <w:proofErr w:type="spellStart"/>
            <w:r w:rsidRPr="00441C5C">
              <w:t>Lint</w:t>
            </w:r>
            <w:proofErr w:type="spellEnd"/>
            <w:r w:rsidRPr="00441C5C">
              <w:t xml:space="preserve">, W., S. </w:t>
            </w:r>
            <w:proofErr w:type="spellStart"/>
            <w:r w:rsidRPr="00441C5C">
              <w:t>Virta</w:t>
            </w:r>
            <w:proofErr w:type="spellEnd"/>
            <w:r w:rsidRPr="00441C5C">
              <w:t>. 2004. „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in </w:t>
            </w:r>
            <w:proofErr w:type="spellStart"/>
            <w:r w:rsidRPr="00441C5C">
              <w:t>Ambiguity</w:t>
            </w:r>
            <w:proofErr w:type="spellEnd"/>
            <w:r w:rsidRPr="00441C5C">
              <w:t xml:space="preserve">: </w:t>
            </w:r>
            <w:proofErr w:type="spellStart"/>
            <w:r w:rsidRPr="00441C5C">
              <w:t>Towards</w:t>
            </w:r>
            <w:proofErr w:type="spellEnd"/>
            <w:r w:rsidRPr="00441C5C">
              <w:t xml:space="preserve"> a </w:t>
            </w:r>
            <w:proofErr w:type="spellStart"/>
            <w:r w:rsidRPr="00441C5C">
              <w:t>Radical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Security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Politics</w:t>
            </w:r>
            <w:proofErr w:type="spellEnd"/>
            <w:r w:rsidRPr="00441C5C">
              <w:t xml:space="preserve">.“ </w:t>
            </w:r>
            <w:proofErr w:type="spellStart"/>
            <w:r w:rsidRPr="00441C5C">
              <w:t>Theoretical</w:t>
            </w:r>
            <w:proofErr w:type="spellEnd"/>
            <w:r w:rsidRPr="00441C5C">
              <w:t xml:space="preserve"> </w:t>
            </w:r>
            <w:proofErr w:type="spellStart"/>
            <w:r w:rsidRPr="00441C5C">
              <w:t>Criminology</w:t>
            </w:r>
            <w:proofErr w:type="spellEnd"/>
            <w:r w:rsidRPr="00441C5C">
              <w:t xml:space="preserve"> 8 (4): 465–489.</w:t>
            </w:r>
          </w:p>
        </w:tc>
      </w:tr>
    </w:tbl>
    <w:p w:rsidR="003211B0" w:rsidRDefault="003211B0"/>
    <w:sectPr w:rsidR="00321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5C"/>
    <w:rsid w:val="003211B0"/>
    <w:rsid w:val="0044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DB0A3-E435-41C8-ADEA-E20E6FCF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1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221">
              <w:marLeft w:val="0"/>
              <w:marRight w:val="0"/>
              <w:marTop w:val="75"/>
              <w:marBottom w:val="0"/>
              <w:divBdr>
                <w:top w:val="single" w:sz="6" w:space="2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16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1" w:color="BBBBBB"/>
                <w:right w:val="none" w:sz="0" w:space="0" w:color="auto"/>
              </w:divBdr>
            </w:div>
          </w:divsChild>
        </w:div>
        <w:div w:id="3044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9108">
              <w:marLeft w:val="0"/>
              <w:marRight w:val="0"/>
              <w:marTop w:val="75"/>
              <w:marBottom w:val="0"/>
              <w:divBdr>
                <w:top w:val="single" w:sz="6" w:space="2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3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1" w:color="BBBBBB"/>
                <w:right w:val="none" w:sz="0" w:space="0" w:color="auto"/>
              </w:divBdr>
            </w:div>
          </w:divsChild>
        </w:div>
        <w:div w:id="14680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cuni.cz/studium/predmety/redir.php?id=ff5eabf9895c43d15ea3999fb18f0c50&amp;tid=&amp;redir=sezn_ucit&amp;kod=06026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.cuni.cz/studium/predmety/redir.php?id=ff5eabf9895c43d15ea3999fb18f0c50&amp;tid=&amp;redir=sezn_ucit&amp;kod=06026" TargetMode="External"/><Relationship Id="rId12" Type="http://schemas.openxmlformats.org/officeDocument/2006/relationships/hyperlink" Target="https://is.cuni.cz/studium/nastenka/redir.php?id=ff5eabf9895c43d15ea3999fb18f0c50&amp;tid=&amp;kod=APO10119" TargetMode="External"/><Relationship Id="rId17" Type="http://schemas.openxmlformats.org/officeDocument/2006/relationships/hyperlink" Target="https://is.cuni.cz/studium/predmety/index.php?id=ff5eabf9895c43d15ea3999fb18f0c50&amp;tid=&amp;do=xedit_memo_multi&amp;kod=APO10119&amp;typ=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cuni.cz/studium/predmety/index.php?id=ff5eabf9895c43d15ea3999fb18f0c50&amp;tid=&amp;do=xedit_memo_multi&amp;kod=APO10119&amp;typ=E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is.cuni.cz/studium/rozvrhng/redir.php?id=ff5eabf9895c43d15ea3999fb18f0c50&amp;tid=&amp;fakulta=11210&amp;skr=2020&amp;sem=2&amp;predmet=APO10119" TargetMode="External"/><Relationship Id="rId5" Type="http://schemas.openxmlformats.org/officeDocument/2006/relationships/hyperlink" Target="https://is.cuni.cz/studium/predmety/redir.php?id=ff5eabf9895c43d15ea3999fb18f0c50&amp;tid=&amp;redir=sezn_fak&amp;kod=11210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is.cuni.cz/studium/predm_uc/redir.php?id=ff5eabf9895c43d15ea3999fb18f0c50&amp;tid=&amp;redir=predmet&amp;povinn=APO10119&amp;skr=2020&amp;sem=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s.cuni.cz/studium/predmety/redir.php?id=ff5eabf9895c43d15ea3999fb18f0c50&amp;tid=&amp;redir=sezn_kat&amp;fak=11210&amp;kod=21-UPOL" TargetMode="External"/><Relationship Id="rId9" Type="http://schemas.openxmlformats.org/officeDocument/2006/relationships/hyperlink" Target="https://is.cuni.cz/studium/predmety/redir.php?id=ff5eabf9895c43d15ea3999fb18f0c50&amp;tid=&amp;redir=sezn_ucit&amp;kod=62961" TargetMode="External"/><Relationship Id="rId14" Type="http://schemas.openxmlformats.org/officeDocument/2006/relationships/hyperlink" Target="https://is.cuni.cz/studium/predmety/index.php?id=ff5eabf9895c43d15ea3999fb18f0c50&amp;tid=&amp;do=xedit_memo_multi&amp;kod=APO10119&amp;typ=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2071</Words>
  <Characters>11784</Characters>
  <Application>Microsoft Office Word</Application>
  <DocSecurity>0</DocSecurity>
  <Lines>165</Lines>
  <Paragraphs>34</Paragraphs>
  <ScaleCrop>false</ScaleCrop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</cp:revision>
  <dcterms:created xsi:type="dcterms:W3CDTF">2021-02-17T20:04:00Z</dcterms:created>
  <dcterms:modified xsi:type="dcterms:W3CDTF">2021-02-17T20:05:00Z</dcterms:modified>
</cp:coreProperties>
</file>