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6EB7" w14:textId="1C351E7E" w:rsidR="00AC5920" w:rsidRPr="003745CD" w:rsidRDefault="00F24072">
      <w:pPr>
        <w:rPr>
          <w:rFonts w:ascii="Arial" w:hAnsi="Arial" w:cs="Arial"/>
          <w:sz w:val="40"/>
          <w:lang w:val="en-GB"/>
        </w:rPr>
      </w:pPr>
      <w:r w:rsidRPr="003745CD">
        <w:rPr>
          <w:rFonts w:ascii="Arial" w:hAnsi="Arial" w:cs="Arial"/>
          <w:sz w:val="40"/>
          <w:lang w:val="en-GB"/>
        </w:rPr>
        <w:t>JPM717: Presentation Handout</w:t>
      </w:r>
    </w:p>
    <w:p w14:paraId="3CDF8FDB" w14:textId="50AFC5C5" w:rsidR="00F24072" w:rsidRPr="003745CD" w:rsidRDefault="00F24072">
      <w:pPr>
        <w:rPr>
          <w:rFonts w:ascii="Arial" w:hAnsi="Arial" w:cs="Arial"/>
          <w:sz w:val="40"/>
          <w:lang w:val="en-GB"/>
        </w:rPr>
      </w:pPr>
      <w:r w:rsidRPr="003745CD">
        <w:rPr>
          <w:rFonts w:ascii="Calibri Light" w:hAnsi="Calibri Light" w:cs="Calibri Light"/>
          <w:noProof/>
          <w:lang w:val="en-GB"/>
        </w:rPr>
        <mc:AlternateContent>
          <mc:Choice Requires="wps">
            <w:drawing>
              <wp:anchor distT="0" distB="0" distL="114300" distR="114300" simplePos="0" relativeHeight="251658240" behindDoc="0" locked="0" layoutInCell="1" allowOverlap="1" wp14:anchorId="3E2DCEE6" wp14:editId="31873594">
                <wp:simplePos x="0" y="0"/>
                <wp:positionH relativeFrom="column">
                  <wp:posOffset>-47625</wp:posOffset>
                </wp:positionH>
                <wp:positionV relativeFrom="paragraph">
                  <wp:posOffset>358140</wp:posOffset>
                </wp:positionV>
                <wp:extent cx="4527550" cy="949960"/>
                <wp:effectExtent l="0" t="0" r="0" b="0"/>
                <wp:wrapTight wrapText="bothSides">
                  <wp:wrapPolygon edited="0">
                    <wp:start x="182" y="866"/>
                    <wp:lineTo x="273" y="20358"/>
                    <wp:lineTo x="21267" y="20358"/>
                    <wp:lineTo x="21267" y="866"/>
                    <wp:lineTo x="182" y="866"/>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2755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14:paraId="255C8173" w14:textId="2408D23E" w:rsidR="00F24072" w:rsidRPr="003D0B28" w:rsidRDefault="00F24072" w:rsidP="00F24072">
                            <w:pPr>
                              <w:rPr>
                                <w:rFonts w:ascii="Arial" w:hAnsi="Arial" w:cs="Arial"/>
                                <w:color w:val="595959"/>
                                <w:sz w:val="20"/>
                                <w:szCs w:val="20"/>
                              </w:rPr>
                            </w:pPr>
                            <w:r w:rsidRPr="003D0B28">
                              <w:rPr>
                                <w:rFonts w:ascii="Arial" w:hAnsi="Arial" w:cs="Arial"/>
                                <w:color w:val="595959"/>
                                <w:sz w:val="20"/>
                                <w:szCs w:val="20"/>
                                <w:lang w:val="en-GB"/>
                              </w:rPr>
                              <w:t>Presenting Student’s Name:</w:t>
                            </w:r>
                            <w:r w:rsidR="00262773" w:rsidRPr="003D0B28">
                              <w:rPr>
                                <w:rFonts w:ascii="Arial" w:hAnsi="Arial" w:cs="Arial"/>
                                <w:color w:val="595959"/>
                                <w:sz w:val="20"/>
                                <w:szCs w:val="20"/>
                                <w:lang w:val="en-GB"/>
                              </w:rPr>
                              <w:t xml:space="preserve"> </w:t>
                            </w:r>
                            <w:r w:rsidR="00262773" w:rsidRPr="003D0B28">
                              <w:rPr>
                                <w:rFonts w:ascii="Arial" w:hAnsi="Arial" w:cs="Arial"/>
                                <w:color w:val="595959"/>
                                <w:sz w:val="20"/>
                                <w:szCs w:val="20"/>
                              </w:rPr>
                              <w:t>Patrik Polák</w:t>
                            </w:r>
                          </w:p>
                          <w:p w14:paraId="68DEEFEB" w14:textId="15158CFD" w:rsidR="00F24072" w:rsidRPr="003D0B28" w:rsidRDefault="00F24072" w:rsidP="00F24072">
                            <w:pPr>
                              <w:rPr>
                                <w:rFonts w:ascii="Arial" w:hAnsi="Arial" w:cs="Arial"/>
                                <w:color w:val="595959"/>
                                <w:sz w:val="20"/>
                                <w:szCs w:val="20"/>
                                <w:lang w:val="en-GB"/>
                              </w:rPr>
                            </w:pPr>
                            <w:r w:rsidRPr="003D0B28">
                              <w:rPr>
                                <w:rFonts w:ascii="Arial" w:hAnsi="Arial" w:cs="Arial"/>
                                <w:color w:val="595959"/>
                                <w:sz w:val="20"/>
                                <w:szCs w:val="20"/>
                                <w:lang w:val="en-GB"/>
                              </w:rPr>
                              <w:t>Reading’s Title:</w:t>
                            </w:r>
                            <w:r w:rsidR="00B86FAB" w:rsidRPr="003D0B28">
                              <w:rPr>
                                <w:rFonts w:ascii="Arial" w:hAnsi="Arial" w:cs="Arial"/>
                                <w:color w:val="595959"/>
                                <w:sz w:val="20"/>
                                <w:szCs w:val="20"/>
                                <w:lang w:val="en-GB"/>
                              </w:rPr>
                              <w:t xml:space="preserve"> </w:t>
                            </w:r>
                            <w:r w:rsidR="00BD7C17" w:rsidRPr="003D0B28">
                              <w:rPr>
                                <w:rFonts w:ascii="Arial" w:hAnsi="Arial" w:cs="Arial"/>
                                <w:color w:val="595959"/>
                                <w:sz w:val="20"/>
                                <w:szCs w:val="20"/>
                                <w:lang w:val="en-GB"/>
                              </w:rPr>
                              <w:t>Secured and Sorted Mobilities: Examples from the Airport</w:t>
                            </w:r>
                          </w:p>
                          <w:p w14:paraId="7617AA67" w14:textId="495FDB40" w:rsidR="00F24072" w:rsidRPr="00CE5DD1" w:rsidRDefault="00B57A44" w:rsidP="00F24072">
                            <w:pPr>
                              <w:rPr>
                                <w:rFonts w:ascii="Arial" w:hAnsi="Arial" w:cs="Arial"/>
                                <w:color w:val="595959"/>
                                <w:sz w:val="20"/>
                                <w:szCs w:val="20"/>
                                <w:lang w:val="en-GB"/>
                              </w:rPr>
                            </w:pPr>
                            <w:r w:rsidRPr="00CE5DD1">
                              <w:rPr>
                                <w:rFonts w:ascii="Arial" w:hAnsi="Arial" w:cs="Arial"/>
                                <w:color w:val="595959"/>
                                <w:sz w:val="20"/>
                                <w:szCs w:val="20"/>
                                <w:lang w:val="en-GB"/>
                              </w:rPr>
                              <w:t xml:space="preserve">Year of </w:t>
                            </w:r>
                            <w:r w:rsidR="00D35FFD" w:rsidRPr="00CE5DD1">
                              <w:rPr>
                                <w:rFonts w:ascii="Arial" w:hAnsi="Arial" w:cs="Arial"/>
                                <w:color w:val="595959"/>
                                <w:sz w:val="20"/>
                                <w:szCs w:val="20"/>
                                <w:lang w:val="en-GB"/>
                              </w:rPr>
                              <w:t>publication: 2004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DCEE6" id="_x0000_t202" coordsize="21600,21600" o:spt="202" path="m,l,21600r21600,l21600,xe">
                <v:stroke joinstyle="miter"/>
                <v:path gradientshapeok="t" o:connecttype="rect"/>
              </v:shapetype>
              <v:shape id="Text Box 3" o:spid="_x0000_s1026" type="#_x0000_t202" style="position:absolute;margin-left:-3.75pt;margin-top:28.2pt;width:356.5pt;height: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" filled="f" stroked="f" strokecolor="#5a5a5a">
                <v:path arrowok="t"/>
                <v:textbox inset=",7.2pt,,7.2pt">
                  <w:txbxContent>
                    <w:p w14:paraId="255C8173" w14:textId="2408D23E" w:rsidR="00F24072" w:rsidRPr="003D0B28" w:rsidRDefault="00F24072" w:rsidP="00F24072">
                      <w:pPr>
                        <w:rPr>
                          <w:rFonts w:ascii="Arial" w:hAnsi="Arial" w:cs="Arial"/>
                          <w:color w:val="595959"/>
                          <w:sz w:val="20"/>
                          <w:szCs w:val="20"/>
                        </w:rPr>
                      </w:pPr>
                      <w:r w:rsidRPr="003D0B28">
                        <w:rPr>
                          <w:rFonts w:ascii="Arial" w:hAnsi="Arial" w:cs="Arial"/>
                          <w:color w:val="595959"/>
                          <w:sz w:val="20"/>
                          <w:szCs w:val="20"/>
                          <w:lang w:val="en-GB"/>
                        </w:rPr>
                        <w:t>Presenting Student’s Name:</w:t>
                      </w:r>
                      <w:r w:rsidR="00262773" w:rsidRPr="003D0B28">
                        <w:rPr>
                          <w:rFonts w:ascii="Arial" w:hAnsi="Arial" w:cs="Arial"/>
                          <w:color w:val="595959"/>
                          <w:sz w:val="20"/>
                          <w:szCs w:val="20"/>
                          <w:lang w:val="en-GB"/>
                        </w:rPr>
                        <w:t xml:space="preserve"> </w:t>
                      </w:r>
                      <w:r w:rsidR="00262773" w:rsidRPr="003D0B28">
                        <w:rPr>
                          <w:rFonts w:ascii="Arial" w:hAnsi="Arial" w:cs="Arial"/>
                          <w:color w:val="595959"/>
                          <w:sz w:val="20"/>
                          <w:szCs w:val="20"/>
                        </w:rPr>
                        <w:t>Patrik Polák</w:t>
                      </w:r>
                    </w:p>
                    <w:p w14:paraId="68DEEFEB" w14:textId="15158CFD" w:rsidR="00F24072" w:rsidRPr="003D0B28" w:rsidRDefault="00F24072" w:rsidP="00F24072">
                      <w:pPr>
                        <w:rPr>
                          <w:rFonts w:ascii="Arial" w:hAnsi="Arial" w:cs="Arial"/>
                          <w:color w:val="595959"/>
                          <w:sz w:val="20"/>
                          <w:szCs w:val="20"/>
                          <w:lang w:val="en-GB"/>
                        </w:rPr>
                      </w:pPr>
                      <w:r w:rsidRPr="003D0B28">
                        <w:rPr>
                          <w:rFonts w:ascii="Arial" w:hAnsi="Arial" w:cs="Arial"/>
                          <w:color w:val="595959"/>
                          <w:sz w:val="20"/>
                          <w:szCs w:val="20"/>
                          <w:lang w:val="en-GB"/>
                        </w:rPr>
                        <w:t>Reading’s Title:</w:t>
                      </w:r>
                      <w:r w:rsidR="00B86FAB" w:rsidRPr="003D0B28">
                        <w:rPr>
                          <w:rFonts w:ascii="Arial" w:hAnsi="Arial" w:cs="Arial"/>
                          <w:color w:val="595959"/>
                          <w:sz w:val="20"/>
                          <w:szCs w:val="20"/>
                          <w:lang w:val="en-GB"/>
                        </w:rPr>
                        <w:t xml:space="preserve"> </w:t>
                      </w:r>
                      <w:r w:rsidR="00BD7C17" w:rsidRPr="003D0B28">
                        <w:rPr>
                          <w:rFonts w:ascii="Arial" w:hAnsi="Arial" w:cs="Arial"/>
                          <w:color w:val="595959"/>
                          <w:sz w:val="20"/>
                          <w:szCs w:val="20"/>
                          <w:lang w:val="en-GB"/>
                        </w:rPr>
                        <w:t>Secured and Sorted Mobilities: Examples from the Airport</w:t>
                      </w:r>
                    </w:p>
                    <w:p w14:paraId="7617AA67" w14:textId="495FDB40" w:rsidR="00F24072" w:rsidRPr="00CE5DD1" w:rsidRDefault="00B57A44" w:rsidP="00F24072">
                      <w:pPr>
                        <w:rPr>
                          <w:rFonts w:ascii="Arial" w:hAnsi="Arial" w:cs="Arial"/>
                          <w:color w:val="595959"/>
                          <w:sz w:val="20"/>
                          <w:szCs w:val="20"/>
                          <w:lang w:val="en-GB"/>
                        </w:rPr>
                      </w:pPr>
                      <w:r w:rsidRPr="00CE5DD1">
                        <w:rPr>
                          <w:rFonts w:ascii="Arial" w:hAnsi="Arial" w:cs="Arial"/>
                          <w:color w:val="595959"/>
                          <w:sz w:val="20"/>
                          <w:szCs w:val="20"/>
                          <w:lang w:val="en-GB"/>
                        </w:rPr>
                        <w:t xml:space="preserve">Year of </w:t>
                      </w:r>
                      <w:r w:rsidR="00D35FFD" w:rsidRPr="00CE5DD1">
                        <w:rPr>
                          <w:rFonts w:ascii="Arial" w:hAnsi="Arial" w:cs="Arial"/>
                          <w:color w:val="595959"/>
                          <w:sz w:val="20"/>
                          <w:szCs w:val="20"/>
                          <w:lang w:val="en-GB"/>
                        </w:rPr>
                        <w:t>publication: 2004</w:t>
                      </w:r>
                    </w:p>
                  </w:txbxContent>
                </v:textbox>
                <w10:wrap type="tight"/>
              </v:shape>
            </w:pict>
          </mc:Fallback>
        </mc:AlternateContent>
      </w:r>
    </w:p>
    <w:p w14:paraId="49AE520E" w14:textId="02430803" w:rsidR="00F24072" w:rsidRPr="003745CD" w:rsidRDefault="00F24072">
      <w:pPr>
        <w:rPr>
          <w:lang w:val="en-GB"/>
        </w:rPr>
      </w:pPr>
    </w:p>
    <w:p w14:paraId="60970EB7" w14:textId="5CCA0AFF" w:rsidR="00F24072" w:rsidRPr="003745CD" w:rsidRDefault="00F24072">
      <w:pPr>
        <w:rPr>
          <w:lang w:val="en-GB"/>
        </w:rPr>
      </w:pPr>
    </w:p>
    <w:p w14:paraId="0692559B" w14:textId="7DE967E8" w:rsidR="00F24072" w:rsidRPr="003745CD" w:rsidRDefault="00F24072" w:rsidP="00F24072">
      <w:pPr>
        <w:rPr>
          <w:lang w:val="en-GB"/>
        </w:rPr>
      </w:pPr>
    </w:p>
    <w:p w14:paraId="7E441F72" w14:textId="1C7A5847" w:rsidR="00F24072" w:rsidRPr="00A81726" w:rsidRDefault="00F24072" w:rsidP="00F24072">
      <w:pPr>
        <w:rPr>
          <w:rFonts w:asciiTheme="minorHAnsi" w:hAnsiTheme="minorHAnsi" w:cstheme="minorHAnsi"/>
          <w:b/>
          <w:bCs/>
          <w:sz w:val="20"/>
          <w:szCs w:val="20"/>
          <w:lang w:val="en-GB"/>
        </w:rPr>
      </w:pPr>
      <w:r w:rsidRPr="00A81726">
        <w:rPr>
          <w:rFonts w:asciiTheme="minorHAnsi" w:hAnsiTheme="minorHAnsi" w:cstheme="minorHAnsi"/>
          <w:b/>
          <w:bCs/>
          <w:sz w:val="20"/>
          <w:szCs w:val="20"/>
          <w:lang w:val="en-GB"/>
        </w:rPr>
        <w:t>1.  Summary of the Reading</w:t>
      </w:r>
    </w:p>
    <w:p w14:paraId="6CA4054B" w14:textId="0AF43416" w:rsidR="00F24072" w:rsidRPr="00A81726" w:rsidRDefault="00F24072" w:rsidP="00F24072">
      <w:pPr>
        <w:rPr>
          <w:rFonts w:asciiTheme="minorHAnsi" w:hAnsiTheme="minorHAnsi" w:cstheme="minorHAnsi"/>
          <w:i/>
          <w:iCs/>
          <w:sz w:val="20"/>
          <w:szCs w:val="20"/>
          <w:lang w:val="en-GB"/>
        </w:rPr>
      </w:pPr>
      <w:r w:rsidRPr="00A81726">
        <w:rPr>
          <w:rFonts w:asciiTheme="minorHAnsi" w:hAnsiTheme="minorHAnsi" w:cstheme="minorHAnsi"/>
          <w:i/>
          <w:iCs/>
          <w:sz w:val="20"/>
          <w:szCs w:val="20"/>
          <w:lang w:val="en-GB"/>
        </w:rPr>
        <w:t xml:space="preserve">What is the reading about? What is the author’s main thesis and conclusions? </w:t>
      </w:r>
    </w:p>
    <w:p w14:paraId="7C4630D7" w14:textId="1294EDD4" w:rsidR="005E0D34" w:rsidRPr="005E0D34" w:rsidRDefault="00D14EDB" w:rsidP="005E0D34">
      <w:pPr>
        <w:pStyle w:val="Normlnweb"/>
        <w:spacing w:before="0" w:beforeAutospacing="0" w:after="160" w:afterAutospacing="0"/>
        <w:jc w:val="both"/>
        <w:rPr>
          <w:rFonts w:asciiTheme="minorHAnsi" w:hAnsiTheme="minorHAnsi" w:cstheme="minorHAnsi"/>
          <w:color w:val="0E101A"/>
          <w:sz w:val="22"/>
          <w:szCs w:val="22"/>
          <w:lang w:val="en-GB"/>
        </w:rPr>
      </w:pPr>
      <w:r w:rsidRPr="00A81726">
        <w:rPr>
          <w:rFonts w:asciiTheme="minorHAnsi" w:hAnsiTheme="minorHAnsi" w:cstheme="minorHAnsi"/>
          <w:sz w:val="22"/>
          <w:szCs w:val="22"/>
          <w:lang w:val="en-GB"/>
        </w:rPr>
        <w:tab/>
      </w:r>
      <w:r w:rsidR="005E0D34" w:rsidRPr="005E0D34">
        <w:rPr>
          <w:rFonts w:asciiTheme="minorHAnsi" w:hAnsiTheme="minorHAnsi" w:cstheme="minorHAnsi"/>
          <w:color w:val="0E101A"/>
          <w:sz w:val="22"/>
          <w:szCs w:val="22"/>
          <w:lang w:val="en-GB"/>
        </w:rPr>
        <w:t>The paper focuses on the mobility surveillance of passengers and</w:t>
      </w:r>
      <w:r w:rsidR="000315DB">
        <w:rPr>
          <w:rFonts w:asciiTheme="minorHAnsi" w:hAnsiTheme="minorHAnsi" w:cstheme="minorHAnsi"/>
          <w:color w:val="0E101A"/>
          <w:sz w:val="22"/>
          <w:szCs w:val="22"/>
          <w:lang w:val="en-GB"/>
        </w:rPr>
        <w:t xml:space="preserve"> </w:t>
      </w:r>
      <w:r w:rsidR="005E0D34" w:rsidRPr="005E0D34">
        <w:rPr>
          <w:rFonts w:asciiTheme="minorHAnsi" w:hAnsiTheme="minorHAnsi" w:cstheme="minorHAnsi"/>
          <w:color w:val="0E101A"/>
          <w:sz w:val="22"/>
          <w:szCs w:val="22"/>
          <w:lang w:val="en-GB"/>
        </w:rPr>
        <w:t>their belongings at the airport as an example of increasing surveillance of society. Mobility has become a central principle when we think about </w:t>
      </w:r>
      <w:r w:rsidR="005E0D34" w:rsidRPr="005E0D34">
        <w:rPr>
          <w:rFonts w:asciiTheme="minorHAnsi" w:hAnsiTheme="minorHAnsi" w:cstheme="minorHAnsi"/>
          <w:i/>
          <w:iCs/>
          <w:color w:val="0E101A"/>
          <w:sz w:val="22"/>
          <w:szCs w:val="22"/>
          <w:lang w:val="en-GB"/>
        </w:rPr>
        <w:t>“society, space and power.” </w:t>
      </w:r>
      <w:r w:rsidR="005E0D34" w:rsidRPr="005E0D34">
        <w:rPr>
          <w:rFonts w:asciiTheme="minorHAnsi" w:hAnsiTheme="minorHAnsi" w:cstheme="minorHAnsi"/>
          <w:color w:val="0E101A"/>
          <w:sz w:val="22"/>
          <w:szCs w:val="22"/>
          <w:lang w:val="en-GB"/>
        </w:rPr>
        <w:t>States often consider mobility as a security risk. The airports have become a good example of population mobility control and surveillance. The paper discusses the taxonomy of the surveillance and the impacts on different travellers that are being differentiated by their profiles. The author criticized this differentiation which may be discriminatory and biased. He is also worried about data privacy.</w:t>
      </w:r>
    </w:p>
    <w:p w14:paraId="2BCCA131" w14:textId="72B23CB6" w:rsidR="005E0D34" w:rsidRPr="005E0D34" w:rsidRDefault="005E0D34" w:rsidP="000315DB">
      <w:pPr>
        <w:pStyle w:val="Normlnweb"/>
        <w:spacing w:after="160"/>
        <w:ind w:firstLine="720"/>
        <w:jc w:val="both"/>
        <w:rPr>
          <w:rFonts w:asciiTheme="minorHAnsi" w:hAnsiTheme="minorHAnsi" w:cstheme="minorHAnsi"/>
          <w:color w:val="0E101A"/>
          <w:sz w:val="22"/>
          <w:szCs w:val="22"/>
          <w:lang w:val="en-GB"/>
        </w:rPr>
      </w:pPr>
      <w:r w:rsidRPr="005E0D34">
        <w:rPr>
          <w:rFonts w:asciiTheme="minorHAnsi" w:hAnsiTheme="minorHAnsi" w:cstheme="minorHAnsi"/>
          <w:color w:val="0E101A"/>
          <w:sz w:val="22"/>
          <w:szCs w:val="22"/>
          <w:lang w:val="en-GB"/>
        </w:rPr>
        <w:t>Unlike other scholars who tend to focus predominantly on screening passengers, this paper concentrates on also controls of things. By separating human and non-human monitoring for the purpose of the article, the author would like to demonstrate the importance of including non-human screening to better understand the complexity of the surveillance system. The paper uses </w:t>
      </w:r>
      <w:r w:rsidRPr="005E0D34">
        <w:rPr>
          <w:rFonts w:asciiTheme="minorHAnsi" w:hAnsiTheme="minorHAnsi" w:cstheme="minorHAnsi"/>
          <w:i/>
          <w:iCs/>
          <w:color w:val="0E101A"/>
          <w:sz w:val="22"/>
          <w:szCs w:val="22"/>
          <w:lang w:val="en-GB"/>
        </w:rPr>
        <w:t>Actor-Network Theory </w:t>
      </w:r>
      <w:r w:rsidRPr="005E0D34">
        <w:rPr>
          <w:rFonts w:asciiTheme="minorHAnsi" w:hAnsiTheme="minorHAnsi" w:cstheme="minorHAnsi"/>
          <w:color w:val="0E101A"/>
          <w:sz w:val="22"/>
          <w:szCs w:val="22"/>
          <w:lang w:val="en-GB"/>
        </w:rPr>
        <w:t>(ANT) to analyse the network of relationships among people, as well as things and organizations. This theory tends to view the monitoring of “means of terrorism” as an observance of network actors and objects. When using this theory, it can be better understood how the surveillance systems were designed and how they work. It especially reveals the assumption and norms that are used during surveillance. Then the process of surveillance can be modified to prevent the threat better.</w:t>
      </w:r>
    </w:p>
    <w:p w14:paraId="29371D30" w14:textId="64509CA8" w:rsidR="00F24072" w:rsidRPr="00A81726" w:rsidRDefault="00F24072" w:rsidP="005E0D34">
      <w:pPr>
        <w:pStyle w:val="Normlnweb"/>
        <w:spacing w:before="0" w:beforeAutospacing="0" w:after="160" w:afterAutospacing="0"/>
        <w:jc w:val="both"/>
        <w:rPr>
          <w:rFonts w:asciiTheme="minorHAnsi" w:hAnsiTheme="minorHAnsi" w:cstheme="minorHAnsi"/>
          <w:b/>
          <w:bCs/>
          <w:sz w:val="20"/>
          <w:szCs w:val="20"/>
          <w:lang w:val="en-GB"/>
        </w:rPr>
      </w:pPr>
      <w:r w:rsidRPr="00A81726">
        <w:rPr>
          <w:rFonts w:asciiTheme="minorHAnsi" w:hAnsiTheme="minorHAnsi" w:cstheme="minorHAnsi"/>
          <w:b/>
          <w:bCs/>
          <w:sz w:val="20"/>
          <w:szCs w:val="20"/>
          <w:lang w:val="en-GB"/>
        </w:rPr>
        <w:t>2.  Critical Analysis</w:t>
      </w:r>
    </w:p>
    <w:p w14:paraId="5095ED2B" w14:textId="7572F082" w:rsidR="00F24072" w:rsidRPr="00A81726" w:rsidRDefault="00F24072">
      <w:pPr>
        <w:rPr>
          <w:rFonts w:asciiTheme="minorHAnsi" w:hAnsiTheme="minorHAnsi" w:cstheme="minorHAnsi"/>
          <w:i/>
          <w:iCs/>
          <w:sz w:val="20"/>
          <w:szCs w:val="20"/>
          <w:lang w:val="en-GB"/>
        </w:rPr>
      </w:pPr>
      <w:r w:rsidRPr="00A81726">
        <w:rPr>
          <w:rFonts w:asciiTheme="minorHAnsi" w:hAnsiTheme="minorHAnsi" w:cstheme="minorHAnsi"/>
          <w:i/>
          <w:iCs/>
          <w:sz w:val="20"/>
          <w:szCs w:val="20"/>
          <w:lang w:val="en-GB"/>
        </w:rPr>
        <w:t>What are the strong and weak points of the argument?</w:t>
      </w:r>
    </w:p>
    <w:p w14:paraId="6344085A" w14:textId="56C0CC3D" w:rsidR="00A81726" w:rsidRDefault="00F33F84" w:rsidP="00A81726">
      <w:pPr>
        <w:jc w:val="both"/>
        <w:rPr>
          <w:rFonts w:asciiTheme="minorHAnsi" w:hAnsiTheme="minorHAnsi" w:cstheme="minorHAnsi"/>
          <w:sz w:val="22"/>
          <w:szCs w:val="22"/>
          <w:lang w:val="en-GB"/>
        </w:rPr>
      </w:pPr>
      <w:r w:rsidRPr="00A81726">
        <w:rPr>
          <w:rFonts w:asciiTheme="minorHAnsi" w:hAnsiTheme="minorHAnsi" w:cstheme="minorHAnsi"/>
          <w:sz w:val="22"/>
          <w:szCs w:val="22"/>
          <w:lang w:val="en-GB"/>
        </w:rPr>
        <w:tab/>
      </w:r>
      <w:r w:rsidR="005E0D34" w:rsidRPr="005E0D34">
        <w:rPr>
          <w:rFonts w:asciiTheme="minorHAnsi" w:hAnsiTheme="minorHAnsi" w:cstheme="minorHAnsi"/>
          <w:sz w:val="22"/>
          <w:szCs w:val="22"/>
          <w:lang w:val="en-GB"/>
        </w:rPr>
        <w:t>The heightened usage of the ANT approach can improve our recognition of surveillance. It offers us a broader view of actors’ mobility and their behaviour. Besides the mainstream type of surveillance practices, the security personnel can also focus their attention on the actor’s behaviour, in the airport’s case, and possibly their relationships with other parts of the network, namely things and organizations. The security personnel would focus more on passengers’ behaviour. However, this approach is limited in not recognizing the actor’s intentions fully.</w:t>
      </w:r>
    </w:p>
    <w:p w14:paraId="57540A10" w14:textId="237F3C96" w:rsidR="00F24072" w:rsidRPr="00A81726" w:rsidRDefault="00F24072" w:rsidP="00A81726">
      <w:pPr>
        <w:jc w:val="both"/>
        <w:rPr>
          <w:rFonts w:asciiTheme="minorHAnsi" w:hAnsiTheme="minorHAnsi" w:cstheme="minorHAnsi"/>
          <w:b/>
          <w:bCs/>
          <w:sz w:val="20"/>
          <w:szCs w:val="20"/>
          <w:lang w:val="en-GB"/>
        </w:rPr>
      </w:pPr>
      <w:r w:rsidRPr="00A81726">
        <w:rPr>
          <w:rFonts w:asciiTheme="minorHAnsi" w:hAnsiTheme="minorHAnsi" w:cstheme="minorHAnsi"/>
          <w:b/>
          <w:bCs/>
          <w:sz w:val="20"/>
          <w:szCs w:val="20"/>
          <w:lang w:val="en-GB"/>
        </w:rPr>
        <w:t>3. Relation to the Main Reading</w:t>
      </w:r>
    </w:p>
    <w:p w14:paraId="63B51F2F" w14:textId="4A18E0ED" w:rsidR="00F24072" w:rsidRPr="00A81726" w:rsidRDefault="00F24072">
      <w:pPr>
        <w:rPr>
          <w:rFonts w:asciiTheme="minorHAnsi" w:hAnsiTheme="minorHAnsi" w:cstheme="minorHAnsi"/>
          <w:i/>
          <w:iCs/>
          <w:sz w:val="20"/>
          <w:szCs w:val="20"/>
          <w:lang w:val="en-GB"/>
        </w:rPr>
      </w:pPr>
      <w:r w:rsidRPr="00A81726">
        <w:rPr>
          <w:rFonts w:asciiTheme="minorHAnsi" w:hAnsiTheme="minorHAnsi" w:cstheme="minorHAnsi"/>
          <w:i/>
          <w:iCs/>
          <w:sz w:val="20"/>
          <w:szCs w:val="20"/>
          <w:lang w:val="en-GB"/>
        </w:rPr>
        <w:t>How does the argument relate to, and/or expand the argument of the main reading to which it is linked in the syllabus?</w:t>
      </w:r>
    </w:p>
    <w:p w14:paraId="145E3D2F" w14:textId="2BC1502A" w:rsidR="005E4BA3" w:rsidRPr="005E0D34" w:rsidRDefault="005E0D34" w:rsidP="005E0D34">
      <w:pPr>
        <w:ind w:firstLine="720"/>
        <w:jc w:val="both"/>
        <w:rPr>
          <w:rFonts w:asciiTheme="minorHAnsi" w:hAnsiTheme="minorHAnsi" w:cstheme="minorHAnsi"/>
          <w:sz w:val="20"/>
          <w:szCs w:val="20"/>
          <w:lang w:val="en-GB"/>
        </w:rPr>
      </w:pPr>
      <w:r w:rsidRPr="005E0D34">
        <w:rPr>
          <w:rFonts w:asciiTheme="minorHAnsi" w:hAnsiTheme="minorHAnsi" w:cstheme="minorHAnsi"/>
          <w:sz w:val="22"/>
          <w:szCs w:val="22"/>
          <w:lang w:val="en-GB"/>
        </w:rPr>
        <w:t>The main reading also highlights the benefits of using the </w:t>
      </w:r>
      <w:r w:rsidRPr="005E0D34">
        <w:rPr>
          <w:rFonts w:asciiTheme="minorHAnsi" w:hAnsiTheme="minorHAnsi" w:cstheme="minorHAnsi"/>
          <w:i/>
          <w:iCs/>
          <w:sz w:val="22"/>
          <w:szCs w:val="22"/>
          <w:lang w:val="en-GB"/>
        </w:rPr>
        <w:t>Actor-Network Theory </w:t>
      </w:r>
      <w:r w:rsidRPr="005E0D34">
        <w:rPr>
          <w:rFonts w:asciiTheme="minorHAnsi" w:hAnsiTheme="minorHAnsi" w:cstheme="minorHAnsi"/>
          <w:sz w:val="22"/>
          <w:szCs w:val="22"/>
          <w:lang w:val="en-GB"/>
        </w:rPr>
        <w:t xml:space="preserve">and focuses on the </w:t>
      </w:r>
      <w:r w:rsidR="00BC0DD1">
        <w:rPr>
          <w:rFonts w:asciiTheme="minorHAnsi" w:hAnsiTheme="minorHAnsi" w:cstheme="minorHAnsi"/>
          <w:sz w:val="22"/>
          <w:szCs w:val="22"/>
          <w:lang w:val="en-GB"/>
        </w:rPr>
        <w:t xml:space="preserve">more </w:t>
      </w:r>
      <w:r w:rsidRPr="005E0D34">
        <w:rPr>
          <w:rFonts w:asciiTheme="minorHAnsi" w:hAnsiTheme="minorHAnsi" w:cstheme="minorHAnsi"/>
          <w:sz w:val="22"/>
          <w:szCs w:val="22"/>
          <w:lang w:val="en-GB"/>
        </w:rPr>
        <w:t xml:space="preserve">critical </w:t>
      </w:r>
      <w:r w:rsidR="00BC0DD1">
        <w:rPr>
          <w:rFonts w:asciiTheme="minorHAnsi" w:hAnsiTheme="minorHAnsi" w:cstheme="minorHAnsi"/>
          <w:sz w:val="22"/>
          <w:szCs w:val="22"/>
          <w:lang w:val="en-GB"/>
        </w:rPr>
        <w:t>view</w:t>
      </w:r>
      <w:r w:rsidRPr="005E0D34">
        <w:rPr>
          <w:rFonts w:asciiTheme="minorHAnsi" w:hAnsiTheme="minorHAnsi" w:cstheme="minorHAnsi"/>
          <w:sz w:val="22"/>
          <w:szCs w:val="22"/>
          <w:lang w:val="en-GB"/>
        </w:rPr>
        <w:t xml:space="preserve"> of the current security approach of the governments. It shares the belief that security is not only about using technology to perform security checks or physical barriers. As the presented article, it still considers the ANT approach as supplementary. As one of the main theses of the main article, the author perceives security as a controversy that is always in the making. He uses </w:t>
      </w:r>
      <w:r w:rsidRPr="005E0D34">
        <w:rPr>
          <w:rFonts w:asciiTheme="minorHAnsi" w:hAnsiTheme="minorHAnsi" w:cstheme="minorHAnsi"/>
          <w:sz w:val="22"/>
          <w:szCs w:val="22"/>
          <w:lang w:val="en-GB"/>
        </w:rPr>
        <w:lastRenderedPageBreak/>
        <w:t>the term “Black boxes” to describe the mapping of current controversies of security governance. He digs into ontological politics of controversies, in the airport’s case into the used security policy measures. In this point, the author of the main reading expands the argumentative level of the presented article, where the ANT approach is used for (additional) security recommendations rather than assessing security discourse as a whole. The main article opens the “black boxes” rather than reacting to the effects of security measures already established, as in the presented article.</w:t>
      </w:r>
    </w:p>
    <w:sectPr w:rsidR="005E4BA3" w:rsidRPr="005E0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915C" w14:textId="77777777" w:rsidR="007A0AD7" w:rsidRDefault="007A0AD7" w:rsidP="00646517">
      <w:pPr>
        <w:spacing w:after="0"/>
      </w:pPr>
      <w:r>
        <w:separator/>
      </w:r>
    </w:p>
  </w:endnote>
  <w:endnote w:type="continuationSeparator" w:id="0">
    <w:p w14:paraId="1D3A3ED7" w14:textId="77777777" w:rsidR="007A0AD7" w:rsidRDefault="007A0AD7" w:rsidP="00646517">
      <w:pPr>
        <w:spacing w:after="0"/>
      </w:pPr>
      <w:r>
        <w:continuationSeparator/>
      </w:r>
    </w:p>
  </w:endnote>
  <w:endnote w:type="continuationNotice" w:id="1">
    <w:p w14:paraId="5B050538" w14:textId="77777777" w:rsidR="007A0AD7" w:rsidRDefault="007A0A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957E" w14:textId="77777777" w:rsidR="007A0AD7" w:rsidRDefault="007A0AD7" w:rsidP="00646517">
      <w:pPr>
        <w:spacing w:after="0"/>
      </w:pPr>
      <w:r>
        <w:separator/>
      </w:r>
    </w:p>
  </w:footnote>
  <w:footnote w:type="continuationSeparator" w:id="0">
    <w:p w14:paraId="4C28E25D" w14:textId="77777777" w:rsidR="007A0AD7" w:rsidRDefault="007A0AD7" w:rsidP="00646517">
      <w:pPr>
        <w:spacing w:after="0"/>
      </w:pPr>
      <w:r>
        <w:continuationSeparator/>
      </w:r>
    </w:p>
  </w:footnote>
  <w:footnote w:type="continuationNotice" w:id="1">
    <w:p w14:paraId="05F9EAB1" w14:textId="77777777" w:rsidR="007A0AD7" w:rsidRDefault="007A0AD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6842"/>
    <w:multiLevelType w:val="hybridMultilevel"/>
    <w:tmpl w:val="542ED010"/>
    <w:lvl w:ilvl="0" w:tplc="8B8AD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8F4D94"/>
    <w:multiLevelType w:val="hybridMultilevel"/>
    <w:tmpl w:val="72686AAA"/>
    <w:lvl w:ilvl="0" w:tplc="9CA4E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7612140">
    <w:abstractNumId w:val="0"/>
  </w:num>
  <w:num w:numId="2" w16cid:durableId="569581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72"/>
    <w:rsid w:val="00010F42"/>
    <w:rsid w:val="000134DD"/>
    <w:rsid w:val="00014470"/>
    <w:rsid w:val="000315DB"/>
    <w:rsid w:val="00032621"/>
    <w:rsid w:val="00032C65"/>
    <w:rsid w:val="00035EEF"/>
    <w:rsid w:val="00035F84"/>
    <w:rsid w:val="00047A27"/>
    <w:rsid w:val="00050E0B"/>
    <w:rsid w:val="00054F4E"/>
    <w:rsid w:val="00055DFC"/>
    <w:rsid w:val="00060907"/>
    <w:rsid w:val="00063B9C"/>
    <w:rsid w:val="00065128"/>
    <w:rsid w:val="00067CE8"/>
    <w:rsid w:val="000960DD"/>
    <w:rsid w:val="000A1483"/>
    <w:rsid w:val="000B5189"/>
    <w:rsid w:val="000C0319"/>
    <w:rsid w:val="000D57F7"/>
    <w:rsid w:val="000D6B5E"/>
    <w:rsid w:val="000F58BA"/>
    <w:rsid w:val="000F5DEE"/>
    <w:rsid w:val="00106416"/>
    <w:rsid w:val="00114130"/>
    <w:rsid w:val="00116FBC"/>
    <w:rsid w:val="001205DB"/>
    <w:rsid w:val="001228BB"/>
    <w:rsid w:val="0014284D"/>
    <w:rsid w:val="001465FF"/>
    <w:rsid w:val="00150905"/>
    <w:rsid w:val="00157983"/>
    <w:rsid w:val="00163CF8"/>
    <w:rsid w:val="001852BA"/>
    <w:rsid w:val="00195B0E"/>
    <w:rsid w:val="00197225"/>
    <w:rsid w:val="001A05D8"/>
    <w:rsid w:val="001A7825"/>
    <w:rsid w:val="001C3A7B"/>
    <w:rsid w:val="001C4445"/>
    <w:rsid w:val="001C7BCF"/>
    <w:rsid w:val="001D3AF6"/>
    <w:rsid w:val="001D7FAA"/>
    <w:rsid w:val="001E0991"/>
    <w:rsid w:val="001E2C58"/>
    <w:rsid w:val="001E5B40"/>
    <w:rsid w:val="00202711"/>
    <w:rsid w:val="002303AA"/>
    <w:rsid w:val="00230BEE"/>
    <w:rsid w:val="002315A8"/>
    <w:rsid w:val="00234A57"/>
    <w:rsid w:val="00246457"/>
    <w:rsid w:val="00254DE1"/>
    <w:rsid w:val="00257B6D"/>
    <w:rsid w:val="00262773"/>
    <w:rsid w:val="00267C6A"/>
    <w:rsid w:val="00271126"/>
    <w:rsid w:val="002716F1"/>
    <w:rsid w:val="00282E27"/>
    <w:rsid w:val="00287E9C"/>
    <w:rsid w:val="00293A7D"/>
    <w:rsid w:val="00296593"/>
    <w:rsid w:val="002974B6"/>
    <w:rsid w:val="002A318C"/>
    <w:rsid w:val="002B0468"/>
    <w:rsid w:val="002C049B"/>
    <w:rsid w:val="002C2098"/>
    <w:rsid w:val="002D174D"/>
    <w:rsid w:val="002E2451"/>
    <w:rsid w:val="002E6BBA"/>
    <w:rsid w:val="002F40E0"/>
    <w:rsid w:val="00302472"/>
    <w:rsid w:val="003327C0"/>
    <w:rsid w:val="00336CF4"/>
    <w:rsid w:val="003745CD"/>
    <w:rsid w:val="0037756B"/>
    <w:rsid w:val="00390944"/>
    <w:rsid w:val="003949B5"/>
    <w:rsid w:val="003A73A1"/>
    <w:rsid w:val="003B171D"/>
    <w:rsid w:val="003B2A3F"/>
    <w:rsid w:val="003B5C48"/>
    <w:rsid w:val="003D0B28"/>
    <w:rsid w:val="003D4E7F"/>
    <w:rsid w:val="003F67D9"/>
    <w:rsid w:val="003F707A"/>
    <w:rsid w:val="00413A9A"/>
    <w:rsid w:val="00414C71"/>
    <w:rsid w:val="004213DA"/>
    <w:rsid w:val="0042181E"/>
    <w:rsid w:val="00422E1E"/>
    <w:rsid w:val="00423DE5"/>
    <w:rsid w:val="00435BC5"/>
    <w:rsid w:val="004416CD"/>
    <w:rsid w:val="004446AE"/>
    <w:rsid w:val="00445D7F"/>
    <w:rsid w:val="004522DD"/>
    <w:rsid w:val="00456CFE"/>
    <w:rsid w:val="004625DC"/>
    <w:rsid w:val="00462710"/>
    <w:rsid w:val="00464286"/>
    <w:rsid w:val="00465784"/>
    <w:rsid w:val="00465984"/>
    <w:rsid w:val="00466F42"/>
    <w:rsid w:val="00467384"/>
    <w:rsid w:val="00470A1C"/>
    <w:rsid w:val="0047496C"/>
    <w:rsid w:val="0048199B"/>
    <w:rsid w:val="0048750C"/>
    <w:rsid w:val="004875C7"/>
    <w:rsid w:val="004B1C65"/>
    <w:rsid w:val="004B25F2"/>
    <w:rsid w:val="004C4084"/>
    <w:rsid w:val="004D617A"/>
    <w:rsid w:val="004E60ED"/>
    <w:rsid w:val="004E7DB6"/>
    <w:rsid w:val="0050174D"/>
    <w:rsid w:val="00510C4F"/>
    <w:rsid w:val="00520793"/>
    <w:rsid w:val="00526077"/>
    <w:rsid w:val="00536E6C"/>
    <w:rsid w:val="005406B3"/>
    <w:rsid w:val="00543294"/>
    <w:rsid w:val="005451E9"/>
    <w:rsid w:val="005607FC"/>
    <w:rsid w:val="00562E87"/>
    <w:rsid w:val="00586021"/>
    <w:rsid w:val="00587A0C"/>
    <w:rsid w:val="005914A2"/>
    <w:rsid w:val="00597DEE"/>
    <w:rsid w:val="005A2F04"/>
    <w:rsid w:val="005B135A"/>
    <w:rsid w:val="005B297A"/>
    <w:rsid w:val="005B3CE5"/>
    <w:rsid w:val="005B6FC2"/>
    <w:rsid w:val="005C00AE"/>
    <w:rsid w:val="005C4E25"/>
    <w:rsid w:val="005D047F"/>
    <w:rsid w:val="005D56DA"/>
    <w:rsid w:val="005D5D48"/>
    <w:rsid w:val="005E0D34"/>
    <w:rsid w:val="005E1FAF"/>
    <w:rsid w:val="005E4BA3"/>
    <w:rsid w:val="005F2968"/>
    <w:rsid w:val="006100FE"/>
    <w:rsid w:val="00623AFF"/>
    <w:rsid w:val="00640EEB"/>
    <w:rsid w:val="00642042"/>
    <w:rsid w:val="00646517"/>
    <w:rsid w:val="00655794"/>
    <w:rsid w:val="00660AE7"/>
    <w:rsid w:val="006629F8"/>
    <w:rsid w:val="00667E95"/>
    <w:rsid w:val="00676489"/>
    <w:rsid w:val="00680457"/>
    <w:rsid w:val="00681F15"/>
    <w:rsid w:val="006906D2"/>
    <w:rsid w:val="006C0516"/>
    <w:rsid w:val="006C1DAC"/>
    <w:rsid w:val="006D698F"/>
    <w:rsid w:val="006E6361"/>
    <w:rsid w:val="00700B93"/>
    <w:rsid w:val="007106B3"/>
    <w:rsid w:val="0071784C"/>
    <w:rsid w:val="00724E52"/>
    <w:rsid w:val="007354BA"/>
    <w:rsid w:val="00754BBF"/>
    <w:rsid w:val="007651AF"/>
    <w:rsid w:val="00766459"/>
    <w:rsid w:val="00777211"/>
    <w:rsid w:val="007805EB"/>
    <w:rsid w:val="0078421E"/>
    <w:rsid w:val="00784541"/>
    <w:rsid w:val="00784D2D"/>
    <w:rsid w:val="007A0AD7"/>
    <w:rsid w:val="007A1222"/>
    <w:rsid w:val="007A6C5E"/>
    <w:rsid w:val="007B15B9"/>
    <w:rsid w:val="007B7A8A"/>
    <w:rsid w:val="007C41DE"/>
    <w:rsid w:val="007C5084"/>
    <w:rsid w:val="007D4FCB"/>
    <w:rsid w:val="007D5997"/>
    <w:rsid w:val="007D6200"/>
    <w:rsid w:val="007E3436"/>
    <w:rsid w:val="007F228C"/>
    <w:rsid w:val="007F4560"/>
    <w:rsid w:val="008002BE"/>
    <w:rsid w:val="00801B3A"/>
    <w:rsid w:val="008100F6"/>
    <w:rsid w:val="008105EC"/>
    <w:rsid w:val="00813DCE"/>
    <w:rsid w:val="008153E4"/>
    <w:rsid w:val="008245D9"/>
    <w:rsid w:val="0082524E"/>
    <w:rsid w:val="0083266E"/>
    <w:rsid w:val="00833F73"/>
    <w:rsid w:val="00852F29"/>
    <w:rsid w:val="00862776"/>
    <w:rsid w:val="008724C8"/>
    <w:rsid w:val="00873EF6"/>
    <w:rsid w:val="0087552B"/>
    <w:rsid w:val="00881321"/>
    <w:rsid w:val="008854D1"/>
    <w:rsid w:val="00895C50"/>
    <w:rsid w:val="008B0D93"/>
    <w:rsid w:val="008D0938"/>
    <w:rsid w:val="008D0B05"/>
    <w:rsid w:val="008D0FD2"/>
    <w:rsid w:val="008D753C"/>
    <w:rsid w:val="008F16DE"/>
    <w:rsid w:val="00901373"/>
    <w:rsid w:val="0090226A"/>
    <w:rsid w:val="00913E55"/>
    <w:rsid w:val="00924D3B"/>
    <w:rsid w:val="00931429"/>
    <w:rsid w:val="00931983"/>
    <w:rsid w:val="0093645C"/>
    <w:rsid w:val="00936B2F"/>
    <w:rsid w:val="00950DA2"/>
    <w:rsid w:val="00962111"/>
    <w:rsid w:val="00962E4F"/>
    <w:rsid w:val="00966141"/>
    <w:rsid w:val="00967A07"/>
    <w:rsid w:val="00975F32"/>
    <w:rsid w:val="009803DC"/>
    <w:rsid w:val="00986D01"/>
    <w:rsid w:val="00987D99"/>
    <w:rsid w:val="00993A45"/>
    <w:rsid w:val="009A2A93"/>
    <w:rsid w:val="009A5103"/>
    <w:rsid w:val="009B2AC2"/>
    <w:rsid w:val="009B64B8"/>
    <w:rsid w:val="009D23EE"/>
    <w:rsid w:val="009E0574"/>
    <w:rsid w:val="009E5009"/>
    <w:rsid w:val="009F39D1"/>
    <w:rsid w:val="009F6177"/>
    <w:rsid w:val="00A03356"/>
    <w:rsid w:val="00A15301"/>
    <w:rsid w:val="00A249A7"/>
    <w:rsid w:val="00A41300"/>
    <w:rsid w:val="00A47AD7"/>
    <w:rsid w:val="00A51BC1"/>
    <w:rsid w:val="00A62E4A"/>
    <w:rsid w:val="00A74C59"/>
    <w:rsid w:val="00A7531D"/>
    <w:rsid w:val="00A81726"/>
    <w:rsid w:val="00A9373B"/>
    <w:rsid w:val="00AB0D91"/>
    <w:rsid w:val="00AF3BE9"/>
    <w:rsid w:val="00AF6A58"/>
    <w:rsid w:val="00B02133"/>
    <w:rsid w:val="00B05172"/>
    <w:rsid w:val="00B11845"/>
    <w:rsid w:val="00B24D88"/>
    <w:rsid w:val="00B258DB"/>
    <w:rsid w:val="00B2788E"/>
    <w:rsid w:val="00B32CDA"/>
    <w:rsid w:val="00B4005A"/>
    <w:rsid w:val="00B42A37"/>
    <w:rsid w:val="00B57A44"/>
    <w:rsid w:val="00B65A6E"/>
    <w:rsid w:val="00B679A5"/>
    <w:rsid w:val="00B74454"/>
    <w:rsid w:val="00B83DE6"/>
    <w:rsid w:val="00B86FAB"/>
    <w:rsid w:val="00B93ACF"/>
    <w:rsid w:val="00BA0EA5"/>
    <w:rsid w:val="00BA24A7"/>
    <w:rsid w:val="00BB4227"/>
    <w:rsid w:val="00BC0DD1"/>
    <w:rsid w:val="00BC1D5D"/>
    <w:rsid w:val="00BC325C"/>
    <w:rsid w:val="00BC3FE8"/>
    <w:rsid w:val="00BC7980"/>
    <w:rsid w:val="00BD1275"/>
    <w:rsid w:val="00BD1AC2"/>
    <w:rsid w:val="00BD5812"/>
    <w:rsid w:val="00BD7C17"/>
    <w:rsid w:val="00BE01F3"/>
    <w:rsid w:val="00BF3667"/>
    <w:rsid w:val="00BF5B8C"/>
    <w:rsid w:val="00C15E45"/>
    <w:rsid w:val="00C269E1"/>
    <w:rsid w:val="00C34675"/>
    <w:rsid w:val="00C51A5D"/>
    <w:rsid w:val="00C56F55"/>
    <w:rsid w:val="00C645C2"/>
    <w:rsid w:val="00C76F2A"/>
    <w:rsid w:val="00C906E0"/>
    <w:rsid w:val="00C9193F"/>
    <w:rsid w:val="00CA0E82"/>
    <w:rsid w:val="00CA40E1"/>
    <w:rsid w:val="00CB1931"/>
    <w:rsid w:val="00CD772B"/>
    <w:rsid w:val="00CE234C"/>
    <w:rsid w:val="00CE2D2B"/>
    <w:rsid w:val="00CE5DD1"/>
    <w:rsid w:val="00CF2235"/>
    <w:rsid w:val="00CF46F0"/>
    <w:rsid w:val="00CF48C6"/>
    <w:rsid w:val="00CF4935"/>
    <w:rsid w:val="00D00223"/>
    <w:rsid w:val="00D05AD5"/>
    <w:rsid w:val="00D14EDB"/>
    <w:rsid w:val="00D163D5"/>
    <w:rsid w:val="00D16DC8"/>
    <w:rsid w:val="00D17C7C"/>
    <w:rsid w:val="00D17FC9"/>
    <w:rsid w:val="00D25883"/>
    <w:rsid w:val="00D26958"/>
    <w:rsid w:val="00D34F8C"/>
    <w:rsid w:val="00D35FFD"/>
    <w:rsid w:val="00D43C02"/>
    <w:rsid w:val="00D51C19"/>
    <w:rsid w:val="00D544E7"/>
    <w:rsid w:val="00D56F6C"/>
    <w:rsid w:val="00D67815"/>
    <w:rsid w:val="00D83AD4"/>
    <w:rsid w:val="00D9041B"/>
    <w:rsid w:val="00D914BD"/>
    <w:rsid w:val="00DA399F"/>
    <w:rsid w:val="00DA634A"/>
    <w:rsid w:val="00DA7FD5"/>
    <w:rsid w:val="00DB0278"/>
    <w:rsid w:val="00DB5184"/>
    <w:rsid w:val="00DB7069"/>
    <w:rsid w:val="00DC3710"/>
    <w:rsid w:val="00DC3968"/>
    <w:rsid w:val="00DC7403"/>
    <w:rsid w:val="00DD3697"/>
    <w:rsid w:val="00DD6474"/>
    <w:rsid w:val="00DD6BBE"/>
    <w:rsid w:val="00DF68E8"/>
    <w:rsid w:val="00E04087"/>
    <w:rsid w:val="00E0542F"/>
    <w:rsid w:val="00E07FA3"/>
    <w:rsid w:val="00E20C28"/>
    <w:rsid w:val="00E20D76"/>
    <w:rsid w:val="00E211D6"/>
    <w:rsid w:val="00E24E16"/>
    <w:rsid w:val="00E330D0"/>
    <w:rsid w:val="00E42E02"/>
    <w:rsid w:val="00E4771F"/>
    <w:rsid w:val="00E66C42"/>
    <w:rsid w:val="00E7083D"/>
    <w:rsid w:val="00E713A7"/>
    <w:rsid w:val="00E74F0E"/>
    <w:rsid w:val="00E913C2"/>
    <w:rsid w:val="00E95267"/>
    <w:rsid w:val="00EA05A8"/>
    <w:rsid w:val="00EA4337"/>
    <w:rsid w:val="00ED0A2B"/>
    <w:rsid w:val="00EE389B"/>
    <w:rsid w:val="00EF6DF4"/>
    <w:rsid w:val="00F16CC4"/>
    <w:rsid w:val="00F176FC"/>
    <w:rsid w:val="00F21ACB"/>
    <w:rsid w:val="00F23D82"/>
    <w:rsid w:val="00F24072"/>
    <w:rsid w:val="00F3040B"/>
    <w:rsid w:val="00F33F84"/>
    <w:rsid w:val="00F6075C"/>
    <w:rsid w:val="00F72E1C"/>
    <w:rsid w:val="00F8102F"/>
    <w:rsid w:val="00F90878"/>
    <w:rsid w:val="00FA3A88"/>
    <w:rsid w:val="00FA592C"/>
    <w:rsid w:val="00FB6732"/>
    <w:rsid w:val="00FC1365"/>
    <w:rsid w:val="00FC6034"/>
    <w:rsid w:val="00FC73D1"/>
    <w:rsid w:val="00FC792E"/>
    <w:rsid w:val="00FD1E6A"/>
    <w:rsid w:val="00FD7EC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C315"/>
  <w15:chartTrackingRefBased/>
  <w15:docId w15:val="{7EC4ED3D-0826-B84D-A079-23600B42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4072"/>
    <w:pPr>
      <w:spacing w:after="200"/>
    </w:pPr>
    <w:rPr>
      <w:rFonts w:ascii="Cambria" w:eastAsia="Cambria" w:hAnsi="Cambria" w:cs="Times New Roman"/>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4072"/>
    <w:pPr>
      <w:ind w:left="720"/>
      <w:contextualSpacing/>
    </w:pPr>
  </w:style>
  <w:style w:type="paragraph" w:styleId="Zhlav">
    <w:name w:val="header"/>
    <w:basedOn w:val="Normln"/>
    <w:link w:val="ZhlavChar"/>
    <w:uiPriority w:val="99"/>
    <w:unhideWhenUsed/>
    <w:rsid w:val="00646517"/>
    <w:pPr>
      <w:tabs>
        <w:tab w:val="center" w:pos="4536"/>
        <w:tab w:val="right" w:pos="9072"/>
      </w:tabs>
      <w:spacing w:after="0"/>
    </w:pPr>
  </w:style>
  <w:style w:type="character" w:customStyle="1" w:styleId="ZhlavChar">
    <w:name w:val="Záhlaví Char"/>
    <w:basedOn w:val="Standardnpsmoodstavce"/>
    <w:link w:val="Zhlav"/>
    <w:uiPriority w:val="99"/>
    <w:rsid w:val="00646517"/>
    <w:rPr>
      <w:rFonts w:ascii="Cambria" w:eastAsia="Cambria" w:hAnsi="Cambria" w:cs="Times New Roman"/>
      <w:kern w:val="0"/>
      <w14:ligatures w14:val="none"/>
    </w:rPr>
  </w:style>
  <w:style w:type="paragraph" w:styleId="Zpat">
    <w:name w:val="footer"/>
    <w:basedOn w:val="Normln"/>
    <w:link w:val="ZpatChar"/>
    <w:uiPriority w:val="99"/>
    <w:unhideWhenUsed/>
    <w:rsid w:val="00646517"/>
    <w:pPr>
      <w:tabs>
        <w:tab w:val="center" w:pos="4536"/>
        <w:tab w:val="right" w:pos="9072"/>
      </w:tabs>
      <w:spacing w:after="0"/>
    </w:pPr>
  </w:style>
  <w:style w:type="character" w:customStyle="1" w:styleId="ZpatChar">
    <w:name w:val="Zápatí Char"/>
    <w:basedOn w:val="Standardnpsmoodstavce"/>
    <w:link w:val="Zpat"/>
    <w:uiPriority w:val="99"/>
    <w:rsid w:val="00646517"/>
    <w:rPr>
      <w:rFonts w:ascii="Cambria" w:eastAsia="Cambria" w:hAnsi="Cambria" w:cs="Times New Roman"/>
      <w:kern w:val="0"/>
      <w14:ligatures w14:val="none"/>
    </w:rPr>
  </w:style>
  <w:style w:type="paragraph" w:styleId="Normlnweb">
    <w:name w:val="Normal (Web)"/>
    <w:basedOn w:val="Normln"/>
    <w:uiPriority w:val="99"/>
    <w:unhideWhenUsed/>
    <w:rsid w:val="00A81726"/>
    <w:pPr>
      <w:spacing w:before="100" w:beforeAutospacing="1" w:after="100" w:afterAutospacing="1"/>
    </w:pPr>
    <w:rPr>
      <w:rFonts w:ascii="Times New Roman" w:eastAsia="Times New Roman" w:hAnsi="Times New Roman"/>
      <w:lang w:eastAsia="cs-CZ"/>
    </w:rPr>
  </w:style>
  <w:style w:type="character" w:styleId="Zdraznn">
    <w:name w:val="Emphasis"/>
    <w:basedOn w:val="Standardnpsmoodstavce"/>
    <w:uiPriority w:val="20"/>
    <w:qFormat/>
    <w:rsid w:val="00A81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5721">
      <w:bodyDiv w:val="1"/>
      <w:marLeft w:val="0"/>
      <w:marRight w:val="0"/>
      <w:marTop w:val="0"/>
      <w:marBottom w:val="0"/>
      <w:divBdr>
        <w:top w:val="none" w:sz="0" w:space="0" w:color="auto"/>
        <w:left w:val="none" w:sz="0" w:space="0" w:color="auto"/>
        <w:bottom w:val="none" w:sz="0" w:space="0" w:color="auto"/>
        <w:right w:val="none" w:sz="0" w:space="0" w:color="auto"/>
      </w:divBdr>
    </w:div>
    <w:div w:id="13578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2</Pages>
  <Words>512</Words>
  <Characters>3026</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Institute of International Relations Prague</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Ditrych</dc:creator>
  <cp:keywords/>
  <dc:description/>
  <cp:lastModifiedBy>Patrik Polák</cp:lastModifiedBy>
  <cp:revision>347</cp:revision>
  <dcterms:created xsi:type="dcterms:W3CDTF">2022-11-15T13:39:00Z</dcterms:created>
  <dcterms:modified xsi:type="dcterms:W3CDTF">2022-12-21T09:07:00Z</dcterms:modified>
</cp:coreProperties>
</file>