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B5" w:rsidRPr="005865F0" w:rsidRDefault="002903B5" w:rsidP="002903B5">
      <w:pPr>
        <w:autoSpaceDE w:val="0"/>
        <w:autoSpaceDN w:val="0"/>
        <w:adjustRightInd w:val="0"/>
        <w:rPr>
          <w:rFonts w:ascii="AntiqueOliTEE-Comp" w:hAnsi="AntiqueOliTEE-Comp" w:cs="AntiqueOliTEE-Comp"/>
          <w:sz w:val="28"/>
          <w:szCs w:val="28"/>
        </w:rPr>
      </w:pPr>
      <w:bookmarkStart w:id="0" w:name="_GoBack"/>
      <w:bookmarkEnd w:id="0"/>
      <w:r w:rsidRPr="005865F0">
        <w:rPr>
          <w:rFonts w:ascii="AntiqueOliTEE-Comp" w:hAnsi="AntiqueOliTEE-Comp" w:cs="AntiqueOliTEE-Comp"/>
          <w:sz w:val="28"/>
          <w:szCs w:val="28"/>
        </w:rPr>
        <w:t xml:space="preserve">Standardní pravidla OSN pro vyrovnání příležitostí </w:t>
      </w:r>
    </w:p>
    <w:p w:rsidR="002903B5" w:rsidRPr="005865F0" w:rsidRDefault="002903B5" w:rsidP="002903B5">
      <w:pPr>
        <w:pStyle w:val="Import2"/>
        <w:spacing w:line="240" w:lineRule="auto"/>
        <w:rPr>
          <w:rFonts w:ascii="Times New Roman" w:hAnsi="Times New Roman"/>
          <w:sz w:val="36"/>
          <w:szCs w:val="36"/>
        </w:rPr>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rPr>
          <w:rFonts w:ascii="Times New Roman" w:hAnsi="Times New Roman"/>
          <w:sz w:val="36"/>
          <w:szCs w:val="36"/>
        </w:rPr>
      </w:pPr>
      <w:r w:rsidRPr="005865F0">
        <w:rPr>
          <w:rFonts w:ascii="Times New Roman" w:hAnsi="Times New Roman"/>
          <w:sz w:val="36"/>
          <w:szCs w:val="36"/>
        </w:rPr>
        <w:t xml:space="preserve">Základní </w:t>
      </w:r>
      <w:r>
        <w:rPr>
          <w:rFonts w:ascii="Times New Roman" w:hAnsi="Times New Roman"/>
          <w:sz w:val="36"/>
          <w:szCs w:val="36"/>
        </w:rPr>
        <w:t xml:space="preserve">terminologie </w:t>
      </w:r>
      <w:r w:rsidRPr="005865F0">
        <w:rPr>
          <w:rFonts w:ascii="Times New Roman" w:hAnsi="Times New Roman"/>
          <w:sz w:val="36"/>
          <w:szCs w:val="36"/>
        </w:rPr>
        <w:t>v politice zdravotního postižení</w:t>
      </w:r>
      <w:r>
        <w:rPr>
          <w:rFonts w:ascii="Times New Roman" w:hAnsi="Times New Roman"/>
          <w:sz w:val="36"/>
          <w:szCs w:val="36"/>
        </w:rPr>
        <w:t>:</w:t>
      </w: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pP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b/>
        </w:rPr>
        <w:t>Termín "postižení"</w:t>
      </w:r>
      <w:r w:rsidRPr="005865F0">
        <w:rPr>
          <w:rFonts w:ascii="Times New Roman" w:hAnsi="Times New Roman"/>
        </w:rPr>
        <w:t xml:space="preserve"> zahrnuje velké množství různých funkčních omezení. Lidé mohou být postiženi fyzickou, mentální nebo smyslovou vadou, zdravotním stavem nebo duševním onemocněním. Takovéto vady, stavy nebo onemocnění mohou být trvalého nebo přechodného rázu.</w:t>
      </w: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jc w:val="both"/>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b/>
        </w:rPr>
        <w:t xml:space="preserve">Handicap je ztráta nebo omezení příležitosti účastnit se života </w:t>
      </w:r>
      <w:r w:rsidRPr="005865F0">
        <w:rPr>
          <w:rFonts w:ascii="Times New Roman" w:hAnsi="Times New Roman"/>
        </w:rPr>
        <w:t>společnosti na stejné úrovni jako ostatní. Termín "handicap" označuje konflikt osoby s postižením a prostředí. Účelem tohoto termínu je položit důraz na nedostatky v prostředí i v mnoha organizovaných aktivitách ve společnosti, např. informacích, komunikaci a vzdělávání, které zabraňují osobám se zdravotním postižením, aby se zapojily za vyrovnaných podmínek.</w:t>
      </w: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jc w:val="both"/>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rPr>
        <w:t xml:space="preserve">Termíny postižení a handicap byly v historii často užívány nejasným a matoucím způsobem, terminologie odrážela lékařský a diagnostický přístup, který přehlížel </w:t>
      </w:r>
      <w:r w:rsidRPr="005865F0">
        <w:rPr>
          <w:rFonts w:ascii="Times New Roman" w:hAnsi="Times New Roman"/>
          <w:b/>
          <w:bCs/>
        </w:rPr>
        <w:t>nedokonalost a nedostatky okolní společnosti</w:t>
      </w:r>
      <w:r w:rsidRPr="005865F0">
        <w:rPr>
          <w:rFonts w:ascii="Times New Roman" w:hAnsi="Times New Roman"/>
        </w:rPr>
        <w:t>.</w:t>
      </w: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jc w:val="both"/>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rPr>
        <w:t>Světová zdravotnická organizace schválila v roce 1980 Mezinárodní klasifikaci vad (ICIDH)</w:t>
      </w: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rPr>
      </w:pPr>
      <w:r w:rsidRPr="005865F0">
        <w:rPr>
          <w:rFonts w:ascii="Times New Roman" w:hAnsi="Times New Roman"/>
        </w:rPr>
        <w:t xml:space="preserve">Tato klasifikace jasně </w:t>
      </w:r>
      <w:r w:rsidRPr="005865F0">
        <w:rPr>
          <w:rFonts w:ascii="Times New Roman" w:hAnsi="Times New Roman"/>
          <w:b/>
          <w:bCs/>
        </w:rPr>
        <w:t>rozlišuje mezi vadou, postižením a handicapem</w:t>
      </w:r>
      <w:r w:rsidRPr="005865F0">
        <w:rPr>
          <w:rFonts w:ascii="Times New Roman" w:hAnsi="Times New Roman"/>
        </w:rPr>
        <w:t xml:space="preserve">. ICIDH byla a je široce využívána v oblastech jako je rehabilitace, vzdělávání, statistika, politika, legislativa, demografie, sociologie, ekonomika a antropologie. </w:t>
      </w: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rPr>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b/>
        </w:rPr>
        <w:t>Prevence</w:t>
      </w:r>
      <w:r w:rsidRPr="005865F0">
        <w:rPr>
          <w:rFonts w:ascii="Times New Roman" w:hAnsi="Times New Roman"/>
        </w:rPr>
        <w:t xml:space="preserve"> znamená činnost zaměřenou na zamezení vzniku fyzické, intelektové, psychické nebo smyslové vady (primární prevence) nebo zamezení toho, aby vada způsobila trvalé funkční omezení nebo postižení (sekundární prevence). </w:t>
      </w: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b/>
        </w:rPr>
        <w:t>Rehabilitace je proces</w:t>
      </w:r>
      <w:r w:rsidRPr="005865F0">
        <w:rPr>
          <w:rFonts w:ascii="Times New Roman" w:hAnsi="Times New Roman"/>
        </w:rPr>
        <w:t xml:space="preserve">, jehož cílem je umožnit osobám se zdravotním postižením, aby dosáhly a zachovaly si optimální fyzickou, smyslovou, intelektovou, psychickou a/nebo sociální úroveň funkcí, tedy poskytnout jim prostředky pro změnu jejich života směrem k dosažení vyšší úrovně nezávislosti. Rehabilitace může zahrnovat opatření pro zajištění a/nebo obnovu funkcí, nebo opatření kompenzující ztrátu nebo absenci funkce nebo funkční omezení. Rehabilitační proces nezahrnuje počáteční lékařskou péči. </w:t>
      </w: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b/>
        </w:rPr>
        <w:t>Vyrovnání příležitostí</w:t>
      </w:r>
      <w:r w:rsidRPr="005865F0">
        <w:rPr>
          <w:rFonts w:ascii="Times New Roman" w:hAnsi="Times New Roman"/>
        </w:rPr>
        <w:t xml:space="preserve"> znamená </w:t>
      </w:r>
      <w:r w:rsidRPr="005865F0">
        <w:rPr>
          <w:rFonts w:ascii="Times New Roman" w:hAnsi="Times New Roman"/>
          <w:b/>
        </w:rPr>
        <w:t>proces</w:t>
      </w:r>
      <w:r w:rsidRPr="005865F0">
        <w:rPr>
          <w:rFonts w:ascii="Times New Roman" w:hAnsi="Times New Roman"/>
        </w:rPr>
        <w:t>, jehož prostřednictvím jsou různé systémy společnosti a prostředí, jako například služby, činnosti, informace a dokumentace, zpřístupněny všem, zvláště osobám se zdravotním postižením.</w:t>
      </w: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jc w:val="both"/>
      </w:pP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5865F0">
        <w:rPr>
          <w:rFonts w:ascii="Times New Roman" w:hAnsi="Times New Roman"/>
          <w:b/>
        </w:rPr>
        <w:t>Princip rovných práv</w:t>
      </w:r>
      <w:r w:rsidRPr="005865F0">
        <w:rPr>
          <w:rFonts w:ascii="Times New Roman" w:hAnsi="Times New Roman"/>
        </w:rPr>
        <w:t xml:space="preserve"> znamená, že potřeby každého jednotlivce jsou stejně důležité, že tyto potřeby musí být ve společnosti základem pro plánování a že všechny zdroje musí být využívány takovým způsobem, který zajistí každému jednotlivci stejnou možnost zapojení.</w:t>
      </w:r>
    </w:p>
    <w:p w:rsidR="002903B5" w:rsidRPr="005865F0" w:rsidRDefault="002903B5" w:rsidP="002903B5">
      <w:pPr>
        <w:pStyle w:val="Import2"/>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p>
    <w:p w:rsidR="002903B5" w:rsidRPr="005865F0" w:rsidRDefault="002903B5" w:rsidP="002903B5">
      <w:pPr>
        <w:pStyle w:val="Import0"/>
        <w:pBdr>
          <w:top w:val="single" w:sz="4" w:space="1" w:color="auto"/>
          <w:left w:val="single" w:sz="4" w:space="4" w:color="auto"/>
          <w:bottom w:val="single" w:sz="4" w:space="1" w:color="auto"/>
          <w:right w:val="single" w:sz="4" w:space="4" w:color="auto"/>
        </w:pBdr>
        <w:spacing w:line="240" w:lineRule="auto"/>
        <w:jc w:val="both"/>
      </w:pPr>
    </w:p>
    <w:p w:rsidR="002903B5" w:rsidRDefault="002903B5">
      <w:pPr>
        <w:rPr>
          <w:rFonts w:ascii="AntiqueOliTEE-Comp" w:hAnsi="AntiqueOliTEE-Comp" w:cs="AntiqueOliTEE-Comp"/>
          <w:b/>
        </w:rPr>
      </w:pPr>
      <w:r>
        <w:rPr>
          <w:rFonts w:ascii="AntiqueOliTEE-Comp" w:hAnsi="AntiqueOliTEE-Comp" w:cs="AntiqueOliTEE-Comp"/>
          <w:b/>
        </w:rPr>
        <w:br w:type="page"/>
      </w:r>
    </w:p>
    <w:p w:rsidR="002903B5" w:rsidRPr="005865F0" w:rsidRDefault="002903B5" w:rsidP="002903B5">
      <w:pPr>
        <w:rPr>
          <w:rFonts w:ascii="AntiqueOliTEE-Comp" w:hAnsi="AntiqueOliTEE-Comp" w:cs="AntiqueOliTEE-Comp"/>
          <w:b/>
        </w:rPr>
      </w:pPr>
      <w:r w:rsidRPr="005865F0">
        <w:rPr>
          <w:rFonts w:ascii="AntiqueOliTEE-Comp" w:hAnsi="AntiqueOliTEE-Comp" w:cs="AntiqueOliTEE-Comp"/>
          <w:b/>
        </w:rPr>
        <w:lastRenderedPageBreak/>
        <w:t>Standardní pravidla OSN</w:t>
      </w:r>
    </w:p>
    <w:p w:rsidR="002903B5" w:rsidRPr="005865F0" w:rsidRDefault="002903B5" w:rsidP="002903B5">
      <w:pPr>
        <w:autoSpaceDE w:val="0"/>
        <w:autoSpaceDN w:val="0"/>
        <w:adjustRightInd w:val="0"/>
        <w:rPr>
          <w:rFonts w:ascii="AntiqueOliTEE-Comp" w:hAnsi="AntiqueOliTEE-Comp" w:cs="AntiqueOliTEE-Comp"/>
          <w:b/>
        </w:rPr>
      </w:pPr>
    </w:p>
    <w:p w:rsidR="002903B5" w:rsidRPr="005865F0" w:rsidRDefault="002903B5" w:rsidP="002903B5">
      <w:pPr>
        <w:autoSpaceDE w:val="0"/>
        <w:autoSpaceDN w:val="0"/>
        <w:adjustRightInd w:val="0"/>
        <w:rPr>
          <w:rFonts w:ascii="Swiss-721AT" w:hAnsi="Swiss-721AT" w:cs="Swiss-721AT"/>
        </w:rPr>
      </w:pPr>
      <w:r w:rsidRPr="005865F0">
        <w:rPr>
          <w:rFonts w:ascii="Swiss-721AT" w:hAnsi="Swiss-721AT" w:cs="Swiss-721AT"/>
          <w:b/>
        </w:rPr>
        <w:t>OSN schválila Standardní pravidla pro vyrovnávání příležitostí pro osoby se zdravotním postižením 20. prosince 1993</w:t>
      </w:r>
      <w:r w:rsidRPr="005865F0">
        <w:rPr>
          <w:rFonts w:ascii="Swiss-721AT" w:hAnsi="Swiss-721AT" w:cs="Swiss-721AT"/>
        </w:rPr>
        <w:t xml:space="preserve">. </w:t>
      </w:r>
    </w:p>
    <w:p w:rsidR="002903B5" w:rsidRPr="005865F0" w:rsidRDefault="002903B5" w:rsidP="002903B5">
      <w:pPr>
        <w:autoSpaceDE w:val="0"/>
        <w:autoSpaceDN w:val="0"/>
        <w:adjustRightInd w:val="0"/>
        <w:rPr>
          <w:rFonts w:ascii="Swiss-721AT" w:hAnsi="Swiss-721AT" w:cs="Swiss-721AT"/>
        </w:rPr>
      </w:pPr>
      <w:r w:rsidRPr="005865F0">
        <w:rPr>
          <w:rFonts w:ascii="Swiss-721AT" w:hAnsi="Swiss-721AT" w:cs="Swiss-721AT"/>
        </w:rPr>
        <w:t xml:space="preserve">Nejsou sice obecně závaznou antidiskriminační legislativou, ale jejich význam je především v tom, že upozorňují na oblasti, které jsou významné pro kvalitu života osob se zdravotním postižením a jejich plné sociální začlenění a rovnost. Standardní pravidla jsou tak užitečným nástrojem pro plánování a tvorbu koncepcí ve prospěch osob se zdravotním postižením. V podmínkách České republiky </w:t>
      </w:r>
      <w:r w:rsidRPr="005865F0">
        <w:rPr>
          <w:rFonts w:ascii="Swiss-721AT" w:hAnsi="Swiss-721AT" w:cs="Swiss-721AT"/>
          <w:b/>
        </w:rPr>
        <w:t>se tento dokument poprvé stal výchozím podkladem při koncipování Národního plánu vyrovnávání příležitostí pro osoby se zdravotním postižením</w:t>
      </w:r>
      <w:r w:rsidRPr="005865F0">
        <w:rPr>
          <w:rFonts w:ascii="Swiss-721AT" w:hAnsi="Swiss-721AT" w:cs="Swiss-721AT"/>
        </w:rPr>
        <w:t xml:space="preserve">, který byl schválen usnesením vlády v roce 1998. </w:t>
      </w:r>
    </w:p>
    <w:p w:rsidR="002903B5" w:rsidRPr="005865F0" w:rsidRDefault="002903B5" w:rsidP="002903B5">
      <w:pPr>
        <w:autoSpaceDE w:val="0"/>
        <w:autoSpaceDN w:val="0"/>
        <w:adjustRightInd w:val="0"/>
        <w:rPr>
          <w:rFonts w:ascii="Swiss-721AT" w:hAnsi="Swiss-721AT" w:cs="Swiss-721AT"/>
        </w:rPr>
      </w:pPr>
    </w:p>
    <w:p w:rsidR="002903B5" w:rsidRPr="005865F0" w:rsidRDefault="002903B5" w:rsidP="002903B5">
      <w:pPr>
        <w:pBdr>
          <w:top w:val="single" w:sz="4" w:space="1" w:color="auto"/>
          <w:left w:val="single" w:sz="4" w:space="4" w:color="auto"/>
          <w:bottom w:val="single" w:sz="4" w:space="1" w:color="auto"/>
          <w:right w:val="single" w:sz="4" w:space="4" w:color="auto"/>
        </w:pBdr>
        <w:autoSpaceDE w:val="0"/>
        <w:autoSpaceDN w:val="0"/>
        <w:adjustRightInd w:val="0"/>
        <w:rPr>
          <w:rFonts w:ascii="Swiss-721AT" w:hAnsi="Swiss-721AT" w:cs="Swiss-721AT"/>
          <w:i/>
        </w:rPr>
      </w:pPr>
      <w:r w:rsidRPr="005865F0">
        <w:rPr>
          <w:rFonts w:ascii="Swiss-721AT" w:hAnsi="Swiss-721AT" w:cs="Swiss-721AT"/>
          <w:i/>
        </w:rPr>
        <w:t>Prioritou Standardních pravidel je tzv. INTEGROVANÉ VZDĚLÁVÁNÍ – při začlenění všech dostupných podpůrných prostředků, flexibilitě učebních plánů a osnov, adekvátního vzdělání učitelů.</w:t>
      </w:r>
    </w:p>
    <w:p w:rsidR="002903B5" w:rsidRPr="005865F0" w:rsidRDefault="002903B5" w:rsidP="002903B5">
      <w:pPr>
        <w:pBdr>
          <w:top w:val="single" w:sz="4" w:space="1" w:color="auto"/>
          <w:left w:val="single" w:sz="4" w:space="4" w:color="auto"/>
          <w:bottom w:val="single" w:sz="4" w:space="1" w:color="auto"/>
          <w:right w:val="single" w:sz="4" w:space="4" w:color="auto"/>
        </w:pBdr>
        <w:autoSpaceDE w:val="0"/>
        <w:autoSpaceDN w:val="0"/>
        <w:adjustRightInd w:val="0"/>
        <w:rPr>
          <w:rFonts w:ascii="Swiss-721AT" w:hAnsi="Swiss-721AT" w:cs="Swiss-721AT"/>
          <w:i/>
        </w:rPr>
      </w:pPr>
      <w:r w:rsidRPr="005865F0">
        <w:rPr>
          <w:rFonts w:ascii="Swiss-721AT" w:hAnsi="Swiss-721AT" w:cs="Swiss-721AT"/>
          <w:i/>
        </w:rPr>
        <w:t xml:space="preserve">Text standardních pravidel není zaměřen proti speciálnímu školství, ale preferuje modely integrovaného vzdělávání. </w:t>
      </w:r>
    </w:p>
    <w:p w:rsidR="002903B5" w:rsidRPr="005865F0" w:rsidRDefault="002903B5" w:rsidP="002903B5">
      <w:pPr>
        <w:spacing w:line="278" w:lineRule="auto"/>
        <w:rPr>
          <w:rFonts w:ascii="Swiss-721AT" w:hAnsi="Swiss-721AT" w:cs="Swiss-721AT"/>
          <w:i/>
        </w:rPr>
      </w:pPr>
    </w:p>
    <w:p w:rsidR="002903B5" w:rsidRPr="005865F0" w:rsidRDefault="002903B5" w:rsidP="002903B5">
      <w:pPr>
        <w:spacing w:line="278" w:lineRule="auto"/>
      </w:pPr>
      <w:r w:rsidRPr="005865F0">
        <w:rPr>
          <w:b/>
          <w:bCs/>
          <w:sz w:val="32"/>
          <w:szCs w:val="32"/>
        </w:rPr>
        <w:t>Aplikace Standardních pravidel</w:t>
      </w:r>
    </w:p>
    <w:p w:rsidR="002903B5" w:rsidRPr="005865F0" w:rsidRDefault="002903B5" w:rsidP="002903B5">
      <w:pPr>
        <w:spacing w:before="140" w:line="278" w:lineRule="auto"/>
      </w:pPr>
      <w:r w:rsidRPr="005865F0">
        <w:t>Standardní pravidla nejsou legislativním nástrojem, ale politickým a morálním závazkem, který přijali čle</w:t>
      </w:r>
      <w:r w:rsidRPr="005865F0">
        <w:softHyphen/>
        <w:t xml:space="preserve">nové mezinárodního společenství. </w:t>
      </w:r>
    </w:p>
    <w:p w:rsidR="002903B5" w:rsidRPr="005865F0" w:rsidRDefault="002903B5" w:rsidP="002903B5">
      <w:pPr>
        <w:spacing w:before="140" w:line="278" w:lineRule="auto"/>
        <w:rPr>
          <w:sz w:val="22"/>
          <w:szCs w:val="22"/>
        </w:rPr>
      </w:pPr>
      <w:r w:rsidRPr="005865F0">
        <w:t>Standardních pravidel je celkem 22.</w:t>
      </w:r>
      <w:r w:rsidRPr="005865F0">
        <w:rPr>
          <w:sz w:val="22"/>
          <w:szCs w:val="22"/>
        </w:rPr>
        <w:t xml:space="preserve">  </w:t>
      </w:r>
      <w:r w:rsidRPr="005865F0">
        <w:t>Obsahují dopo</w:t>
      </w:r>
      <w:r w:rsidRPr="005865F0">
        <w:softHyphen/>
        <w:t>ručení státům v oblastí politiky postižení a návrhy kon</w:t>
      </w:r>
      <w:r w:rsidRPr="005865F0">
        <w:softHyphen/>
        <w:t>krétních postupů.</w:t>
      </w:r>
    </w:p>
    <w:p w:rsidR="002903B5" w:rsidRPr="005865F0" w:rsidRDefault="002903B5" w:rsidP="002903B5">
      <w:pPr>
        <w:spacing w:line="278" w:lineRule="auto"/>
      </w:pPr>
      <w:r w:rsidRPr="005865F0">
        <w:t xml:space="preserve">Standardní pravidla vycházejí </w:t>
      </w:r>
      <w:r w:rsidRPr="005865F0">
        <w:rPr>
          <w:b/>
          <w:bCs/>
        </w:rPr>
        <w:t>z principu rovné důstojnosti</w:t>
      </w:r>
      <w:r w:rsidRPr="005865F0">
        <w:t xml:space="preserve"> všech občanů. Z toho vyplývají rovná práva pro všechny. Společnost má za úkol zaručit spravedlivé rozdělování zdrojů.</w:t>
      </w:r>
    </w:p>
    <w:p w:rsidR="002903B5" w:rsidRPr="005865F0" w:rsidRDefault="002903B5" w:rsidP="002903B5">
      <w:pPr>
        <w:spacing w:line="278" w:lineRule="auto"/>
      </w:pPr>
      <w:r w:rsidRPr="005865F0">
        <w:t xml:space="preserve">Standardní pravidla vycházejí rovněž z </w:t>
      </w:r>
      <w:r w:rsidRPr="005865F0">
        <w:rPr>
          <w:b/>
          <w:bCs/>
          <w:color w:val="000000" w:themeColor="text1"/>
        </w:rPr>
        <w:t>tzv. sociálního modelu handicapu</w:t>
      </w:r>
      <w:r w:rsidRPr="005865F0">
        <w:rPr>
          <w:color w:val="000000" w:themeColor="text1"/>
        </w:rPr>
        <w:t xml:space="preserve">. To znamená, že handicap se může objevit při kontaktu osoby s postižením s jejím prostředím. </w:t>
      </w:r>
      <w:r w:rsidRPr="005865F0">
        <w:t>Není to tedy jedinec, kterého je potřeba adaptovat a přetvořit tak, aby „vyhovoval" společnosti. Společ</w:t>
      </w:r>
      <w:r w:rsidRPr="005865F0">
        <w:softHyphen/>
        <w:t>nost musí naopak být strukturována tak, aby všichni občané měli stejné příležitosti.</w:t>
      </w:r>
    </w:p>
    <w:p w:rsidR="002903B5" w:rsidRPr="005865F0" w:rsidRDefault="002903B5" w:rsidP="002903B5">
      <w:pPr>
        <w:spacing w:line="278" w:lineRule="auto"/>
      </w:pPr>
    </w:p>
    <w:p w:rsidR="002903B5" w:rsidRPr="005865F0" w:rsidRDefault="002903B5" w:rsidP="002903B5"/>
    <w:p w:rsidR="002903B5" w:rsidRPr="005865F0" w:rsidRDefault="002903B5" w:rsidP="002903B5">
      <w:pPr>
        <w:pStyle w:val="Import2"/>
        <w:spacing w:line="240" w:lineRule="auto"/>
        <w:rPr>
          <w:rFonts w:ascii="Times New Roman" w:hAnsi="Times New Roman"/>
          <w:b/>
          <w:sz w:val="28"/>
          <w:szCs w:val="28"/>
        </w:rPr>
      </w:pPr>
      <w:r w:rsidRPr="005865F0">
        <w:rPr>
          <w:rFonts w:ascii="Times New Roman" w:hAnsi="Times New Roman"/>
          <w:b/>
          <w:sz w:val="28"/>
          <w:szCs w:val="28"/>
        </w:rPr>
        <w:t>Pravidlo 6. Vzdělávání</w:t>
      </w:r>
    </w:p>
    <w:p w:rsidR="002903B5" w:rsidRPr="005865F0" w:rsidRDefault="002903B5" w:rsidP="002903B5">
      <w:pPr>
        <w:pStyle w:val="Import0"/>
        <w:spacing w:line="240" w:lineRule="auto"/>
      </w:pPr>
    </w:p>
    <w:p w:rsidR="002903B5" w:rsidRPr="005865F0" w:rsidRDefault="002903B5" w:rsidP="002903B5">
      <w:pPr>
        <w:pStyle w:val="Import2"/>
        <w:spacing w:line="240" w:lineRule="auto"/>
        <w:jc w:val="both"/>
        <w:rPr>
          <w:rFonts w:ascii="Times New Roman" w:hAnsi="Times New Roman"/>
        </w:rPr>
      </w:pPr>
      <w:r w:rsidRPr="008E1EB1">
        <w:rPr>
          <w:rFonts w:ascii="Times New Roman" w:hAnsi="Times New Roman"/>
          <w:bCs/>
        </w:rPr>
        <w:t>Státy by měly uznat</w:t>
      </w:r>
      <w:r w:rsidRPr="005865F0">
        <w:rPr>
          <w:rFonts w:ascii="Times New Roman" w:hAnsi="Times New Roman"/>
        </w:rPr>
        <w:t xml:space="preserve"> zásadu </w:t>
      </w:r>
      <w:r w:rsidRPr="008E1EB1">
        <w:rPr>
          <w:rFonts w:ascii="Times New Roman" w:hAnsi="Times New Roman"/>
          <w:b/>
          <w:bCs/>
        </w:rPr>
        <w:t>zajištění stejných příležitostí</w:t>
      </w:r>
      <w:r w:rsidRPr="005865F0">
        <w:rPr>
          <w:rFonts w:ascii="Times New Roman" w:hAnsi="Times New Roman"/>
        </w:rPr>
        <w:t xml:space="preserve"> základního, středního a vysokoškolského vzdělání pro děti, mládež a dospělé se zdravotním postižením v integrovaném prostředí. Měly by zajistit, aby vzdělávání osob se zdravotním postižením bylo integrální součástí vzdělávacího systému.</w:t>
      </w:r>
    </w:p>
    <w:p w:rsidR="002903B5" w:rsidRPr="005865F0" w:rsidRDefault="002903B5" w:rsidP="002903B5">
      <w:pPr>
        <w:pStyle w:val="Import0"/>
        <w:spacing w:line="240" w:lineRule="auto"/>
        <w:jc w:val="both"/>
      </w:pP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t xml:space="preserve">1. Za vzdělávání osob se zdravotním postižením v integrovaných zařízeních jsou zodpovědné obecné školské úřady. Vzdělávání osob se zdravotním postižením </w:t>
      </w:r>
      <w:r w:rsidRPr="005865F0">
        <w:rPr>
          <w:rFonts w:ascii="Times New Roman" w:hAnsi="Times New Roman"/>
          <w:b/>
        </w:rPr>
        <w:t>by mělo tvořit integrální část národního plánu vzdělávání</w:t>
      </w:r>
      <w:r w:rsidRPr="005865F0">
        <w:rPr>
          <w:rFonts w:ascii="Times New Roman" w:hAnsi="Times New Roman"/>
        </w:rPr>
        <w:t>, tvorby osnov a organizace škol.</w:t>
      </w:r>
    </w:p>
    <w:p w:rsidR="002903B5" w:rsidRPr="005865F0" w:rsidRDefault="002903B5" w:rsidP="002903B5">
      <w:pPr>
        <w:pStyle w:val="Import0"/>
        <w:spacing w:line="240" w:lineRule="auto"/>
        <w:jc w:val="both"/>
      </w:pP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t xml:space="preserve">2. Výuka ve školách běžného typu předpokládá zajištění tlumočníka a dalších vhodných pomocných služeb. </w:t>
      </w:r>
      <w:r w:rsidRPr="005865F0">
        <w:rPr>
          <w:rFonts w:ascii="Times New Roman" w:hAnsi="Times New Roman"/>
          <w:b/>
        </w:rPr>
        <w:t>Měly by být poskytovány adekvátní služby</w:t>
      </w:r>
      <w:r w:rsidRPr="005865F0">
        <w:rPr>
          <w:rFonts w:ascii="Times New Roman" w:hAnsi="Times New Roman"/>
        </w:rPr>
        <w:t xml:space="preserve"> zajišťující přístupnost a podporu, navržené tak, aby vyhovovaly potřebám osob s různým zdravotním postižením.</w:t>
      </w:r>
    </w:p>
    <w:p w:rsidR="002903B5" w:rsidRPr="005865F0" w:rsidRDefault="002903B5" w:rsidP="002903B5">
      <w:pPr>
        <w:pStyle w:val="Import0"/>
        <w:spacing w:line="240" w:lineRule="auto"/>
        <w:jc w:val="both"/>
      </w:pP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t xml:space="preserve">3. Rodičovské organizace a organizace osob se zdravotním postižením </w:t>
      </w:r>
      <w:r w:rsidRPr="005865F0">
        <w:rPr>
          <w:rFonts w:ascii="Times New Roman" w:hAnsi="Times New Roman"/>
          <w:b/>
        </w:rPr>
        <w:t>by se měly zapojit</w:t>
      </w:r>
      <w:r w:rsidRPr="005865F0">
        <w:rPr>
          <w:rFonts w:ascii="Times New Roman" w:hAnsi="Times New Roman"/>
        </w:rPr>
        <w:t xml:space="preserve"> do vzdělávacího procesu na všech úrovních.</w:t>
      </w:r>
    </w:p>
    <w:p w:rsidR="002903B5" w:rsidRPr="005865F0" w:rsidRDefault="002903B5" w:rsidP="002903B5">
      <w:pPr>
        <w:pStyle w:val="Import0"/>
        <w:spacing w:line="240" w:lineRule="auto"/>
        <w:jc w:val="both"/>
      </w:pP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lastRenderedPageBreak/>
        <w:t>4. Ve státech, kde je vzdělání povinné</w:t>
      </w:r>
      <w:r w:rsidRPr="005865F0">
        <w:rPr>
          <w:rFonts w:ascii="Times New Roman" w:hAnsi="Times New Roman"/>
          <w:b/>
        </w:rPr>
        <w:t>, by mělo být zajištěno</w:t>
      </w:r>
      <w:r w:rsidRPr="005865F0">
        <w:rPr>
          <w:rFonts w:ascii="Times New Roman" w:hAnsi="Times New Roman"/>
        </w:rPr>
        <w:t xml:space="preserve"> pro dívky i chlapce se všemi druhy a stupni zdravotního postižení, včetně těch nejzávažnějších.</w:t>
      </w:r>
    </w:p>
    <w:p w:rsidR="002903B5" w:rsidRPr="005865F0" w:rsidRDefault="002903B5" w:rsidP="002903B5">
      <w:pPr>
        <w:pStyle w:val="Import0"/>
        <w:spacing w:line="240" w:lineRule="auto"/>
        <w:jc w:val="both"/>
      </w:pP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t xml:space="preserve">5. Zvláštní </w:t>
      </w:r>
      <w:r w:rsidRPr="005865F0">
        <w:rPr>
          <w:rFonts w:ascii="Times New Roman" w:hAnsi="Times New Roman"/>
          <w:b/>
        </w:rPr>
        <w:t>pozornost by měla být věnována</w:t>
      </w:r>
      <w:r w:rsidRPr="005865F0">
        <w:rPr>
          <w:rFonts w:ascii="Times New Roman" w:hAnsi="Times New Roman"/>
        </w:rPr>
        <w:t xml:space="preserve"> následujícím oblastem</w:t>
      </w:r>
      <w:r>
        <w:rPr>
          <w:rFonts w:ascii="Times New Roman" w:hAnsi="Times New Roman"/>
        </w:rPr>
        <w:t xml:space="preserve"> vzdělávání</w:t>
      </w:r>
      <w:r w:rsidRPr="005865F0">
        <w:rPr>
          <w:rFonts w:ascii="Times New Roman" w:hAnsi="Times New Roman"/>
        </w:rPr>
        <w:t>:</w:t>
      </w:r>
    </w:p>
    <w:p w:rsidR="002903B5" w:rsidRPr="005865F0" w:rsidRDefault="002903B5" w:rsidP="002903B5">
      <w:pPr>
        <w:pStyle w:val="Import0"/>
        <w:spacing w:line="240" w:lineRule="auto"/>
        <w:jc w:val="both"/>
      </w:pPr>
    </w:p>
    <w:p w:rsidR="002903B5" w:rsidRPr="008E1EB1" w:rsidRDefault="002903B5" w:rsidP="002903B5">
      <w:pPr>
        <w:pStyle w:val="Import2"/>
        <w:spacing w:line="240" w:lineRule="auto"/>
        <w:jc w:val="both"/>
        <w:rPr>
          <w:rFonts w:ascii="Times New Roman" w:hAnsi="Times New Roman"/>
        </w:rPr>
      </w:pPr>
      <w:r w:rsidRPr="005865F0">
        <w:rPr>
          <w:rFonts w:ascii="Times New Roman" w:hAnsi="Times New Roman"/>
        </w:rPr>
        <w:t>a) velmi malým dětem s postižením</w:t>
      </w:r>
    </w:p>
    <w:p w:rsidR="002903B5" w:rsidRPr="008E1EB1" w:rsidRDefault="002903B5" w:rsidP="002903B5">
      <w:pPr>
        <w:pStyle w:val="Import2"/>
        <w:spacing w:line="240" w:lineRule="auto"/>
        <w:jc w:val="both"/>
        <w:rPr>
          <w:rFonts w:ascii="Times New Roman" w:hAnsi="Times New Roman"/>
        </w:rPr>
      </w:pPr>
      <w:r w:rsidRPr="005865F0">
        <w:rPr>
          <w:rFonts w:ascii="Times New Roman" w:hAnsi="Times New Roman"/>
        </w:rPr>
        <w:t>b) předškolním dětem s postižením</w:t>
      </w: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t>c) dospělým se zdravotním postižením, zvláště ženám</w:t>
      </w:r>
    </w:p>
    <w:p w:rsidR="002903B5" w:rsidRPr="005865F0" w:rsidRDefault="002903B5" w:rsidP="002903B5">
      <w:pPr>
        <w:pStyle w:val="Import2"/>
        <w:spacing w:line="240" w:lineRule="auto"/>
        <w:jc w:val="both"/>
        <w:rPr>
          <w:rFonts w:ascii="Times New Roman" w:hAnsi="Times New Roman"/>
        </w:rPr>
      </w:pP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t>(…)</w:t>
      </w:r>
    </w:p>
    <w:p w:rsidR="002903B5" w:rsidRPr="005865F0" w:rsidRDefault="002903B5" w:rsidP="002903B5">
      <w:pPr>
        <w:pStyle w:val="Import2"/>
        <w:spacing w:line="240" w:lineRule="auto"/>
        <w:jc w:val="both"/>
        <w:rPr>
          <w:rFonts w:ascii="Times New Roman" w:hAnsi="Times New Roman"/>
        </w:rPr>
      </w:pP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highlight w:val="cyan"/>
        </w:rPr>
        <w:t>O EXISTENCI SPECIÁLNÍCH ŠKOL</w:t>
      </w:r>
      <w:r w:rsidRPr="005865F0">
        <w:rPr>
          <w:rFonts w:ascii="Times New Roman" w:hAnsi="Times New Roman"/>
        </w:rPr>
        <w:t>:</w:t>
      </w: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rPr>
        <w:t xml:space="preserve">8. V situaci, kde všeobecný školský systém ještě neodpovídá potřebám všech osob se zdravotním postižením, lze uvažovat o speciálním vzdělávání. </w:t>
      </w:r>
      <w:r w:rsidRPr="005865F0">
        <w:rPr>
          <w:rFonts w:ascii="Times New Roman" w:hAnsi="Times New Roman"/>
          <w:b/>
        </w:rPr>
        <w:t>Cílem by měla být příprava studentů</w:t>
      </w:r>
      <w:r w:rsidRPr="005865F0">
        <w:rPr>
          <w:rFonts w:ascii="Times New Roman" w:hAnsi="Times New Roman"/>
        </w:rPr>
        <w:t xml:space="preserve"> pro vzdělávání ve všeobecném školském systému. Kvalita takového vzdělání </w:t>
      </w:r>
      <w:r w:rsidRPr="005865F0">
        <w:rPr>
          <w:rFonts w:ascii="Times New Roman" w:hAnsi="Times New Roman"/>
          <w:b/>
        </w:rPr>
        <w:t>by měla odpovídat stejným standardům</w:t>
      </w:r>
      <w:r w:rsidRPr="005865F0">
        <w:rPr>
          <w:rFonts w:ascii="Times New Roman" w:hAnsi="Times New Roman"/>
        </w:rPr>
        <w:t xml:space="preserve"> a cílům jako vzdělávání všeobecné a </w:t>
      </w:r>
      <w:r w:rsidRPr="005865F0">
        <w:rPr>
          <w:rFonts w:ascii="Times New Roman" w:hAnsi="Times New Roman"/>
          <w:b/>
        </w:rPr>
        <w:t>měla by</w:t>
      </w:r>
      <w:r w:rsidRPr="005865F0">
        <w:rPr>
          <w:rFonts w:ascii="Times New Roman" w:hAnsi="Times New Roman"/>
        </w:rPr>
        <w:t xml:space="preserve"> s ním být úzce spojena. Minimálně by měl být studentům se zdravotním postižením poskytován stejný podíl ze zdrojů na vzdělání jako studentům bez postižení. </w:t>
      </w:r>
      <w:r w:rsidRPr="005865F0">
        <w:rPr>
          <w:rFonts w:ascii="Times New Roman" w:hAnsi="Times New Roman"/>
          <w:b/>
        </w:rPr>
        <w:t>Státy by se měly zaměřit na postupnou integraci služeb speciálního školství do školství běžného typu.</w:t>
      </w:r>
      <w:r w:rsidRPr="005865F0">
        <w:rPr>
          <w:rFonts w:ascii="Times New Roman" w:hAnsi="Times New Roman"/>
        </w:rPr>
        <w:t xml:space="preserve"> Je uznáváno, že v některých případech může být v současné době speciální školství považováno pro některé studenty se zdravotním postižením za nejvhodnější formu vzdělávání.</w:t>
      </w:r>
    </w:p>
    <w:p w:rsidR="002903B5" w:rsidRPr="005865F0" w:rsidRDefault="002903B5" w:rsidP="002903B5">
      <w:pPr>
        <w:pStyle w:val="Import0"/>
        <w:spacing w:line="240" w:lineRule="auto"/>
        <w:jc w:val="both"/>
      </w:pPr>
    </w:p>
    <w:p w:rsidR="002903B5" w:rsidRPr="005865F0" w:rsidRDefault="002903B5" w:rsidP="002903B5">
      <w:pPr>
        <w:pStyle w:val="Import0"/>
        <w:spacing w:line="240" w:lineRule="auto"/>
        <w:jc w:val="both"/>
      </w:pPr>
      <w:r w:rsidRPr="005865F0">
        <w:rPr>
          <w:highlight w:val="cyan"/>
        </w:rPr>
        <w:t>SPECIÁLNĚ O NESLYŠÍCÍCH:</w:t>
      </w:r>
    </w:p>
    <w:p w:rsidR="002903B5" w:rsidRPr="005865F0" w:rsidRDefault="002903B5" w:rsidP="002903B5">
      <w:pPr>
        <w:pStyle w:val="Import2"/>
        <w:spacing w:line="240" w:lineRule="auto"/>
        <w:jc w:val="both"/>
        <w:rPr>
          <w:rFonts w:ascii="Times New Roman" w:hAnsi="Times New Roman"/>
        </w:rPr>
      </w:pPr>
      <w:r w:rsidRPr="005865F0">
        <w:rPr>
          <w:rFonts w:ascii="Times New Roman" w:hAnsi="Times New Roman"/>
          <w:highlight w:val="yellow"/>
        </w:rPr>
        <w:t>9. Vzhledem ke zvláštním potřebám komunikace neslyšících a hluchoslepých osob může být jejich vzdělání lépe zajištěno v jim určených školách nebo ve speciálních třídách a jednotkách škol běžného typu. Zejména v počátečním stádiu je nutno zaměřit zvláštní pozornost na citlivou výuku odpovídající kultuře, která vyústí v efektivní komunikační schopnosti a v maximální nezávislost pro osoby, které jsou neslyšící nebo hluchoslepé.</w:t>
      </w:r>
    </w:p>
    <w:p w:rsidR="002903B5" w:rsidRPr="005865F0" w:rsidRDefault="002903B5" w:rsidP="002903B5">
      <w:pPr>
        <w:autoSpaceDE w:val="0"/>
        <w:autoSpaceDN w:val="0"/>
        <w:adjustRightInd w:val="0"/>
        <w:rPr>
          <w:rFonts w:ascii="AntiqueOliTEE-Comp" w:hAnsi="AntiqueOliTEE-Comp" w:cs="AntiqueOliTEE-Comp"/>
          <w:b/>
          <w:sz w:val="28"/>
          <w:szCs w:val="28"/>
        </w:rPr>
      </w:pPr>
    </w:p>
    <w:p w:rsidR="002903B5" w:rsidRPr="005865F0" w:rsidRDefault="002903B5" w:rsidP="002903B5">
      <w:pPr>
        <w:autoSpaceDE w:val="0"/>
        <w:autoSpaceDN w:val="0"/>
        <w:adjustRightInd w:val="0"/>
        <w:rPr>
          <w:rFonts w:ascii="AntiqueOliTEE-Comp" w:hAnsi="AntiqueOliTEE-Comp" w:cs="AntiqueOliTEE-Comp"/>
          <w:b/>
          <w:sz w:val="28"/>
          <w:szCs w:val="28"/>
        </w:rPr>
      </w:pPr>
    </w:p>
    <w:p w:rsidR="002903B5" w:rsidRPr="005865F0" w:rsidRDefault="002903B5" w:rsidP="002903B5">
      <w:pPr>
        <w:autoSpaceDE w:val="0"/>
        <w:autoSpaceDN w:val="0"/>
        <w:adjustRightInd w:val="0"/>
        <w:rPr>
          <w:rFonts w:ascii="AntiqueOliTEE-Comp" w:hAnsi="AntiqueOliTEE-Comp" w:cs="AntiqueOliTEE-Comp"/>
          <w:b/>
          <w:sz w:val="28"/>
          <w:szCs w:val="28"/>
        </w:rPr>
      </w:pPr>
      <w:r w:rsidRPr="005865F0">
        <w:rPr>
          <w:rFonts w:ascii="AntiqueOliTEE-Comp" w:hAnsi="AntiqueOliTEE-Comp" w:cs="AntiqueOliTEE-Comp"/>
          <w:b/>
          <w:sz w:val="28"/>
          <w:szCs w:val="28"/>
        </w:rPr>
        <w:t>Program 22</w:t>
      </w:r>
    </w:p>
    <w:p w:rsidR="002903B5" w:rsidRPr="005865F0" w:rsidRDefault="002903B5" w:rsidP="002903B5">
      <w:pPr>
        <w:autoSpaceDE w:val="0"/>
        <w:autoSpaceDN w:val="0"/>
        <w:adjustRightInd w:val="0"/>
        <w:rPr>
          <w:rFonts w:ascii="AntiqueOliTEE-Comp" w:hAnsi="AntiqueOliTEE-Comp" w:cs="AntiqueOliTEE-Comp"/>
          <w:b/>
          <w:sz w:val="28"/>
          <w:szCs w:val="28"/>
        </w:rPr>
      </w:pPr>
    </w:p>
    <w:p w:rsidR="002903B5" w:rsidRPr="005865F0" w:rsidRDefault="002903B5" w:rsidP="002903B5">
      <w:pPr>
        <w:autoSpaceDE w:val="0"/>
        <w:autoSpaceDN w:val="0"/>
        <w:adjustRightInd w:val="0"/>
        <w:rPr>
          <w:rFonts w:ascii="Swiss-721AT" w:hAnsi="Swiss-721AT" w:cs="Swiss-721AT"/>
          <w:b/>
        </w:rPr>
      </w:pPr>
      <w:r w:rsidRPr="005865F0">
        <w:rPr>
          <w:rFonts w:ascii="Swiss-721AT" w:hAnsi="Swiss-721AT" w:cs="Swiss-721AT"/>
          <w:b/>
        </w:rPr>
        <w:t>Cílem „Programu 22“ (někdy zvaného „Agenda 22“) je uvádět do praxe Standardní pravidla OSN prostřednictvím tvorby plánů politiky ve prospěch občanů se zdravotním postižením.</w:t>
      </w:r>
    </w:p>
    <w:p w:rsidR="000C3BBA" w:rsidRDefault="000C3BBA"/>
    <w:sectPr w:rsidR="000C3BBA" w:rsidSect="002903B5">
      <w:pgSz w:w="11900" w:h="16840"/>
      <w:pgMar w:top="4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ntiqueOliTEE-Comp">
    <w:altName w:val="Calibri"/>
    <w:panose1 w:val="00000000000000000000"/>
    <w:charset w:val="EE"/>
    <w:family w:val="auto"/>
    <w:notTrueType/>
    <w:pitch w:val="default"/>
    <w:sig w:usb0="00000005" w:usb1="00000000" w:usb2="00000000" w:usb3="00000000" w:csb0="00000002" w:csb1="00000000"/>
  </w:font>
  <w:font w:name="Swiss-721A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B5"/>
    <w:rsid w:val="000C3BBA"/>
    <w:rsid w:val="002903B5"/>
    <w:rsid w:val="00A64C94"/>
    <w:rsid w:val="00D73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34A2B-C754-B44D-8E50-840844B6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03B5"/>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2903B5"/>
    <w:pPr>
      <w:suppressAutoHyphens/>
      <w:spacing w:line="276" w:lineRule="auto"/>
    </w:pPr>
    <w:rPr>
      <w:szCs w:val="20"/>
    </w:rPr>
  </w:style>
  <w:style w:type="paragraph" w:customStyle="1" w:styleId="Import2">
    <w:name w:val="Import 2"/>
    <w:basedOn w:val="Normln"/>
    <w:rsid w:val="002903B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553" w:lineRule="auto"/>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6126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Servus</dc:creator>
  <cp:keywords/>
  <dc:description/>
  <cp:lastModifiedBy>Jana Servusová</cp:lastModifiedBy>
  <cp:revision>2</cp:revision>
  <dcterms:created xsi:type="dcterms:W3CDTF">2020-11-26T07:30:00Z</dcterms:created>
  <dcterms:modified xsi:type="dcterms:W3CDTF">2020-11-26T07:30:00Z</dcterms:modified>
</cp:coreProperties>
</file>