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50E0" w14:textId="77777777" w:rsidR="00A7534A" w:rsidRDefault="00851A4C">
      <w:pPr>
        <w:pStyle w:val="Nadpis1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Studie TALIS 2018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14:paraId="43A47FA3" w14:textId="77777777" w:rsidR="00A7534A" w:rsidRDefault="00851A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Mezinárodní šetření o vyučování a učení TALIS 2018 (</w:t>
      </w:r>
      <w:proofErr w:type="spellStart"/>
      <w:r>
        <w:rPr>
          <w:sz w:val="22"/>
          <w:szCs w:val="22"/>
        </w:rPr>
        <w:t>Teaching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 xml:space="preserve"> International </w:t>
      </w:r>
      <w:proofErr w:type="spellStart"/>
      <w:r>
        <w:rPr>
          <w:sz w:val="22"/>
          <w:szCs w:val="22"/>
        </w:rPr>
        <w:t>Survey</w:t>
      </w:r>
      <w:proofErr w:type="spellEnd"/>
      <w:r>
        <w:rPr>
          <w:sz w:val="22"/>
          <w:szCs w:val="22"/>
        </w:rPr>
        <w:t>) provedla Č</w:t>
      </w:r>
      <w:bookmarkStart w:id="0" w:name="_GoBack"/>
      <w:bookmarkEnd w:id="0"/>
      <w:r>
        <w:rPr>
          <w:sz w:val="22"/>
          <w:szCs w:val="22"/>
        </w:rPr>
        <w:t>eská školní inspekce v období od 26. března do 4. května 2018. Data byla sbírána prostřednictvím elektronických dotazníků.</w:t>
      </w:r>
    </w:p>
    <w:p w14:paraId="18C15706" w14:textId="77777777" w:rsidR="00A7534A" w:rsidRDefault="00A7534A">
      <w:pPr>
        <w:spacing w:line="360" w:lineRule="auto"/>
        <w:jc w:val="both"/>
        <w:rPr>
          <w:sz w:val="22"/>
          <w:szCs w:val="22"/>
        </w:rPr>
      </w:pPr>
    </w:p>
    <w:p w14:paraId="4C344D9B" w14:textId="77777777" w:rsidR="00A7534A" w:rsidRDefault="00851A4C">
      <w:pPr>
        <w:pStyle w:val="Nadpis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Charakteristika výzkumného souboru šetření TALIS 2018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14:paraId="0D9217A4" w14:textId="77777777" w:rsidR="00A7534A" w:rsidRDefault="00851A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studie se zapojilo 3447 respondentů (učitelů druhého stupně základních škol a odpovídajících ročníků víceletých gymnázií) z 219 tuzemských škol. Výzkumný vzorek tvoří 2607 žen (75,6 %) a 840 mužů (2</w:t>
      </w:r>
      <w:r>
        <w:rPr>
          <w:sz w:val="22"/>
          <w:szCs w:val="22"/>
        </w:rPr>
        <w:t xml:space="preserve">4,4 </w:t>
      </w:r>
      <w:commentRangeStart w:id="1"/>
      <w:r>
        <w:rPr>
          <w:sz w:val="22"/>
          <w:szCs w:val="22"/>
        </w:rPr>
        <w:t>%).</w:t>
      </w:r>
      <w:r>
        <w:rPr>
          <w:rStyle w:val="Ukotvenpoznmkypodarou"/>
          <w:sz w:val="22"/>
          <w:szCs w:val="22"/>
        </w:rPr>
        <w:footnoteReference w:id="1"/>
      </w:r>
      <w:commentRangeEnd w:id="1"/>
      <w:r>
        <w:rPr>
          <w:rStyle w:val="Odkaznakoment"/>
        </w:rPr>
        <w:commentReference w:id="1"/>
      </w:r>
      <w:r>
        <w:rPr>
          <w:sz w:val="22"/>
          <w:szCs w:val="22"/>
        </w:rPr>
        <w:t xml:space="preserve"> </w:t>
      </w:r>
    </w:p>
    <w:p w14:paraId="38A1AA5F" w14:textId="77777777" w:rsidR="00A7534A" w:rsidRDefault="00851A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Věkový průměr respondentů je 45,1 let (SD = </w:t>
      </w:r>
      <w:commentRangeStart w:id="2"/>
      <w:r>
        <w:rPr>
          <w:sz w:val="22"/>
          <w:szCs w:val="22"/>
        </w:rPr>
        <w:t>10,79</w:t>
      </w:r>
      <w:commentRangeEnd w:id="2"/>
      <w:r>
        <w:rPr>
          <w:rStyle w:val="Odkaznakoment"/>
        </w:rPr>
        <w:commentReference w:id="2"/>
      </w:r>
      <w:r>
        <w:rPr>
          <w:sz w:val="22"/>
          <w:szCs w:val="22"/>
        </w:rPr>
        <w:t xml:space="preserve">), medián má hodnotu 45 let, modem je věk </w:t>
      </w:r>
      <w:commentRangeStart w:id="3"/>
      <w:r>
        <w:rPr>
          <w:sz w:val="22"/>
          <w:szCs w:val="22"/>
        </w:rPr>
        <w:t xml:space="preserve">40 let </w:t>
      </w:r>
      <w:commentRangeEnd w:id="3"/>
      <w:r>
        <w:rPr>
          <w:rStyle w:val="Odkaznakoment"/>
        </w:rPr>
        <w:commentReference w:id="3"/>
      </w:r>
      <w:r>
        <w:rPr>
          <w:sz w:val="22"/>
          <w:szCs w:val="22"/>
        </w:rPr>
        <w:t>(s četností 134 výskytů). 6 respondentů svůj věk neuvedlo. Věkovou charakteristiku souboru shrnuje tabulka 1. Grafické rozložení respondentů dle věk</w:t>
      </w:r>
      <w:r>
        <w:rPr>
          <w:sz w:val="22"/>
          <w:szCs w:val="22"/>
        </w:rPr>
        <w:t>u představuje obrázek 1.</w:t>
      </w:r>
    </w:p>
    <w:p w14:paraId="2D11D667" w14:textId="77777777" w:rsidR="00A7534A" w:rsidRDefault="00A7534A">
      <w:pPr>
        <w:rPr>
          <w:sz w:val="22"/>
          <w:szCs w:val="22"/>
        </w:rPr>
      </w:pPr>
    </w:p>
    <w:p w14:paraId="205B09BB" w14:textId="77777777" w:rsidR="00A7534A" w:rsidRDefault="00851A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Tabulka 1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Věková charakteristika souboru</w:t>
      </w:r>
    </w:p>
    <w:tbl>
      <w:tblPr>
        <w:tblW w:w="8505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2575"/>
        <w:gridCol w:w="3265"/>
      </w:tblGrid>
      <w:tr w:rsidR="00A7534A" w14:paraId="3E8C8CC2" w14:textId="77777777">
        <w:trPr>
          <w:trHeight w:val="264"/>
          <w:jc w:val="center"/>
        </w:trPr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11C61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Věk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AA016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Absolutní četnost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C4695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Relativní </w:t>
            </w:r>
            <w:commentRangeStart w:id="4"/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četnost</w:t>
            </w:r>
            <w:commentRangeEnd w:id="4"/>
            <w:r>
              <w:rPr>
                <w:rStyle w:val="Odkaznakoment"/>
              </w:rPr>
              <w:commentReference w:id="4"/>
            </w: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(%)</w:t>
            </w:r>
          </w:p>
        </w:tc>
      </w:tr>
      <w:tr w:rsidR="00A7534A" w14:paraId="3D55A443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3100C505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19–24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059322CB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78AA6E47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1,02</w:t>
            </w:r>
          </w:p>
        </w:tc>
      </w:tr>
      <w:tr w:rsidR="00A7534A" w14:paraId="579FE26F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198B6B98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25–29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14AB641D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291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0E2C615D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8,44</w:t>
            </w:r>
          </w:p>
        </w:tc>
      </w:tr>
      <w:tr w:rsidR="00A7534A" w14:paraId="2F2DC019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2BBE9843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30–34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49E4174F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310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4E5F0ACA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8,99</w:t>
            </w:r>
          </w:p>
        </w:tc>
      </w:tr>
      <w:tr w:rsidR="00A7534A" w14:paraId="45A05EC6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092F5B53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35–39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78CF2344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455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3D88D6AC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13,20</w:t>
            </w:r>
          </w:p>
        </w:tc>
      </w:tr>
      <w:tr w:rsidR="00A7534A" w14:paraId="61D9C1D2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3460A70D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40–44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7AF55E62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612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3232CC7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17,75</w:t>
            </w:r>
          </w:p>
        </w:tc>
      </w:tr>
      <w:tr w:rsidR="00A7534A" w14:paraId="7EC91004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79ED8D05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45–49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2948031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453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4AAA353C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13,14</w:t>
            </w:r>
          </w:p>
        </w:tc>
      </w:tr>
      <w:tr w:rsidR="00A7534A" w14:paraId="2D50C23C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027865C3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50–54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5FE4AA8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493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626DE756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14,30</w:t>
            </w:r>
          </w:p>
        </w:tc>
      </w:tr>
      <w:tr w:rsidR="00A7534A" w14:paraId="213396A0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0E38322B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55–59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1CE96235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472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406942C7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13,69</w:t>
            </w:r>
          </w:p>
        </w:tc>
      </w:tr>
      <w:tr w:rsidR="00A7534A" w14:paraId="2C887926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532632CB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60–64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7B777833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260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314B304B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7,54</w:t>
            </w:r>
          </w:p>
        </w:tc>
      </w:tr>
      <w:tr w:rsidR="00A7534A" w14:paraId="1707F707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0A9C80B9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65–69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3102EB7C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5810C95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1,45</w:t>
            </w:r>
          </w:p>
        </w:tc>
      </w:tr>
      <w:tr w:rsidR="00A7534A" w14:paraId="0F0952DE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279C8FC7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70–74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3C447CAA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2A6F6884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0,26</w:t>
            </w:r>
          </w:p>
        </w:tc>
      </w:tr>
      <w:tr w:rsidR="00A7534A" w14:paraId="6B35CB62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73BCC9FD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75–79 let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2C9DE9B8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411C0698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0,03</w:t>
            </w:r>
          </w:p>
        </w:tc>
      </w:tr>
      <w:tr w:rsidR="00A7534A" w14:paraId="486E93C1" w14:textId="77777777">
        <w:trPr>
          <w:trHeight w:val="264"/>
          <w:jc w:val="center"/>
        </w:trPr>
        <w:tc>
          <w:tcPr>
            <w:tcW w:w="2665" w:type="dxa"/>
            <w:shd w:val="clear" w:color="auto" w:fill="auto"/>
            <w:vAlign w:val="bottom"/>
          </w:tcPr>
          <w:p w14:paraId="09C86A76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Neuveden</w:t>
            </w:r>
          </w:p>
        </w:tc>
        <w:tc>
          <w:tcPr>
            <w:tcW w:w="2575" w:type="dxa"/>
            <w:shd w:val="clear" w:color="auto" w:fill="auto"/>
            <w:vAlign w:val="bottom"/>
          </w:tcPr>
          <w:p w14:paraId="68A8EE15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33C284D4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0,17</w:t>
            </w:r>
          </w:p>
        </w:tc>
      </w:tr>
      <w:tr w:rsidR="00A7534A" w14:paraId="601A68EB" w14:textId="77777777">
        <w:trPr>
          <w:trHeight w:val="264"/>
          <w:jc w:val="center"/>
        </w:trPr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272BAD" w14:textId="77777777" w:rsidR="00A7534A" w:rsidRDefault="00851A4C">
            <w:pPr>
              <w:spacing w:after="0" w:line="240" w:lineRule="auto"/>
              <w:ind w:left="781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Celkem (N)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C38082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3447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25F45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100</w:t>
            </w:r>
          </w:p>
        </w:tc>
      </w:tr>
    </w:tbl>
    <w:p w14:paraId="7037E0A0" w14:textId="77777777" w:rsidR="00A7534A" w:rsidRDefault="00A7534A">
      <w:pPr>
        <w:spacing w:line="360" w:lineRule="auto"/>
        <w:jc w:val="both"/>
        <w:rPr>
          <w:sz w:val="22"/>
          <w:szCs w:val="22"/>
        </w:rPr>
      </w:pPr>
    </w:p>
    <w:p w14:paraId="2AB1517D" w14:textId="77777777" w:rsidR="00A7534A" w:rsidRDefault="00A7534A"/>
    <w:p w14:paraId="6F8FE985" w14:textId="77777777" w:rsidR="00A7534A" w:rsidRDefault="00851A4C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B6BA3BF" wp14:editId="7B75A9DB">
            <wp:extent cx="5873750" cy="22225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FE8D99" w14:textId="77777777" w:rsidR="00A7534A" w:rsidRDefault="00851A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Obrázek 1. </w:t>
      </w:r>
      <w:r>
        <w:rPr>
          <w:sz w:val="22"/>
          <w:szCs w:val="22"/>
        </w:rPr>
        <w:t xml:space="preserve">Rozložení respondentů dle </w:t>
      </w:r>
      <w:commentRangeStart w:id="5"/>
      <w:r>
        <w:rPr>
          <w:sz w:val="22"/>
          <w:szCs w:val="22"/>
        </w:rPr>
        <w:t>věku</w:t>
      </w:r>
      <w:commentRangeEnd w:id="5"/>
      <w:r>
        <w:rPr>
          <w:rStyle w:val="Odkaznakoment"/>
        </w:rPr>
        <w:commentReference w:id="5"/>
      </w:r>
      <w:r>
        <w:rPr>
          <w:sz w:val="22"/>
          <w:szCs w:val="22"/>
        </w:rPr>
        <w:t>.</w:t>
      </w:r>
    </w:p>
    <w:p w14:paraId="068B1135" w14:textId="77777777" w:rsidR="00A7534A" w:rsidRDefault="00A7534A">
      <w:pPr>
        <w:rPr>
          <w:i/>
        </w:rPr>
      </w:pPr>
    </w:p>
    <w:p w14:paraId="201FE404" w14:textId="77777777" w:rsidR="00A7534A" w:rsidRDefault="00851A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Mezi další sledovaný demografický údaj patřilo nejvyšší dosažené vzdělání </w:t>
      </w:r>
      <w:r>
        <w:rPr>
          <w:sz w:val="22"/>
          <w:szCs w:val="22"/>
        </w:rPr>
        <w:t>účastníků výzkumu. Vstupní dotazník šetření ovšem u této proměnné nabízí odlišné kategorie dosaženého vzdělání než univerzálně využívaná klasifikace ISCED 2011. Z tohoto důvodu byla získaná dotazníková data převedena do kategorií, které odpovídají ISCED 20</w:t>
      </w:r>
      <w:r>
        <w:rPr>
          <w:sz w:val="22"/>
          <w:szCs w:val="22"/>
        </w:rPr>
        <w:t>11. Vyšší odborné vzdělání na konzervatoři (v dotazníku uvedeno jako stupeň 4) bylo převedeno do stupně ISCED 5. Absolventi vyššího odborného vzdělání (v dotazníku uvedeno jako stupeň 5) a bakalářských studijních programů (v dotazníku uvedeno jako stupeň 6</w:t>
      </w:r>
      <w:r>
        <w:rPr>
          <w:sz w:val="22"/>
          <w:szCs w:val="22"/>
        </w:rPr>
        <w:t>) byli sloučeni do stupně ISCED 6. Takto upravená data jsou prezentována v tomto textu. Nejvíce respondentů dosáhlo magisterské stupně vzdělání (</w:t>
      </w:r>
      <w:proofErr w:type="gramStart"/>
      <w:r>
        <w:rPr>
          <w:sz w:val="22"/>
          <w:szCs w:val="22"/>
        </w:rPr>
        <w:t>ISCED 7) (89,</w:t>
      </w:r>
      <w:commentRangeStart w:id="6"/>
      <w:r>
        <w:rPr>
          <w:sz w:val="22"/>
          <w:szCs w:val="22"/>
        </w:rPr>
        <w:t>09</w:t>
      </w:r>
      <w:commentRangeEnd w:id="6"/>
      <w:proofErr w:type="gramEnd"/>
      <w:r>
        <w:rPr>
          <w:rStyle w:val="Odkaznakoment"/>
        </w:rPr>
        <w:commentReference w:id="6"/>
      </w:r>
      <w:r>
        <w:rPr>
          <w:sz w:val="22"/>
          <w:szCs w:val="22"/>
        </w:rPr>
        <w:t xml:space="preserve"> %), jak dokládá tabulka 2. Pouze 2 dotázaní mají středoškolské, nebo nižší vzdělání. 2 dotázaní</w:t>
      </w:r>
      <w:r>
        <w:rPr>
          <w:sz w:val="22"/>
          <w:szCs w:val="22"/>
        </w:rPr>
        <w:t xml:space="preserve"> na otázku neodpověděli. Míru zastoupení respondentů v jednotlivých kategoriích ukazuje obrázek 2.</w:t>
      </w:r>
    </w:p>
    <w:p w14:paraId="027B250E" w14:textId="77777777" w:rsidR="00A7534A" w:rsidRDefault="00851A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Tabulka 2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Nejvyšší dosažené vzdělání respondentů</w:t>
      </w:r>
    </w:p>
    <w:tbl>
      <w:tblPr>
        <w:tblW w:w="947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086"/>
        <w:gridCol w:w="2093"/>
        <w:gridCol w:w="2731"/>
      </w:tblGrid>
      <w:tr w:rsidR="00A7534A" w14:paraId="31B595A1" w14:textId="77777777">
        <w:trPr>
          <w:trHeight w:val="872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93505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Nejvyšší dosažené vzdělání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3DDBC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Absolutní četnost</w:t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E2268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Relativní četnost (%)</w:t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AB099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Relativní kumulovaná četnost (%)</w:t>
            </w:r>
          </w:p>
        </w:tc>
      </w:tr>
      <w:tr w:rsidR="00A7534A" w14:paraId="608A352F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1E3A163C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Neuvedeno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3573BFFC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3498E543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0,06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68A01673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100</w:t>
            </w:r>
          </w:p>
        </w:tc>
      </w:tr>
      <w:tr w:rsidR="00A7534A" w14:paraId="49F13C70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31272C22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ISCED 3 a nižší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46D4E8F2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70F96886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0,06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2B2BCA0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99,94</w:t>
            </w:r>
          </w:p>
        </w:tc>
      </w:tr>
      <w:tr w:rsidR="00A7534A" w14:paraId="7FF6564C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46A877BE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ISCED 4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480692CF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62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3F3AE06C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1,80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50C0652D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99,88</w:t>
            </w:r>
          </w:p>
        </w:tc>
      </w:tr>
      <w:tr w:rsidR="00A7534A" w14:paraId="21F10346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2859917B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ISCED 5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0F2ED681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12E7DCE5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0,23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64120259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98,09</w:t>
            </w:r>
          </w:p>
        </w:tc>
      </w:tr>
      <w:tr w:rsidR="00A7534A" w14:paraId="49169D65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36176055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ISCED 6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39D776CB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133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19F52264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3,86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6C35053B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97,85</w:t>
            </w:r>
          </w:p>
        </w:tc>
      </w:tr>
      <w:tr w:rsidR="00A7534A" w14:paraId="47AD6B4F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03A11A5D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ISCED 7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567D202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3071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19464A43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89,09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389BAFA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93,99</w:t>
            </w:r>
          </w:p>
        </w:tc>
      </w:tr>
      <w:tr w:rsidR="00A7534A" w14:paraId="2A8ED43F" w14:textId="77777777">
        <w:trPr>
          <w:trHeight w:val="290"/>
        </w:trPr>
        <w:tc>
          <w:tcPr>
            <w:tcW w:w="2559" w:type="dxa"/>
            <w:shd w:val="clear" w:color="auto" w:fill="auto"/>
            <w:vAlign w:val="bottom"/>
          </w:tcPr>
          <w:p w14:paraId="62FA9BE6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ISCED 8</w:t>
            </w:r>
          </w:p>
        </w:tc>
        <w:tc>
          <w:tcPr>
            <w:tcW w:w="2086" w:type="dxa"/>
            <w:shd w:val="clear" w:color="auto" w:fill="auto"/>
            <w:vAlign w:val="bottom"/>
          </w:tcPr>
          <w:p w14:paraId="433BBD77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169</w:t>
            </w:r>
          </w:p>
        </w:tc>
        <w:tc>
          <w:tcPr>
            <w:tcW w:w="2093" w:type="dxa"/>
            <w:shd w:val="clear" w:color="auto" w:fill="auto"/>
            <w:vAlign w:val="bottom"/>
          </w:tcPr>
          <w:p w14:paraId="65E0622F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4,90</w:t>
            </w:r>
          </w:p>
        </w:tc>
        <w:tc>
          <w:tcPr>
            <w:tcW w:w="2731" w:type="dxa"/>
            <w:shd w:val="clear" w:color="auto" w:fill="auto"/>
            <w:vAlign w:val="bottom"/>
          </w:tcPr>
          <w:p w14:paraId="6C238AC0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4,90</w:t>
            </w:r>
          </w:p>
        </w:tc>
      </w:tr>
      <w:tr w:rsidR="00A7534A" w14:paraId="70C92580" w14:textId="77777777">
        <w:trPr>
          <w:trHeight w:val="75"/>
        </w:trPr>
        <w:tc>
          <w:tcPr>
            <w:tcW w:w="2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714F53" w14:textId="77777777" w:rsidR="00A7534A" w:rsidRDefault="00851A4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Celkem (N)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FD0635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3447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E3FE0B" w14:textId="77777777" w:rsidR="00A7534A" w:rsidRDefault="00851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27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9596DA" w14:textId="77777777" w:rsidR="00A7534A" w:rsidRDefault="00A753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6FB08673" w14:textId="77777777" w:rsidR="00A7534A" w:rsidRDefault="00851A4C">
      <w:pPr>
        <w:spacing w:line="240" w:lineRule="auto"/>
        <w:jc w:val="both"/>
      </w:pPr>
      <w:r>
        <w:rPr>
          <w:sz w:val="20"/>
          <w:szCs w:val="20"/>
        </w:rPr>
        <w:t xml:space="preserve">Pozn. ISCED 3 = vyšší sekundární vzdělání (SŠ s maturitou); </w:t>
      </w:r>
      <w:r>
        <w:rPr>
          <w:sz w:val="20"/>
          <w:szCs w:val="20"/>
        </w:rPr>
        <w:t>ISCED 4 = postsekundární neterciární vzdělání (pomaturitní kurzy); ISCED 5 = krátký cyklus terciárního vzdělání (absolutorium konzervatoře); ISCED 6 = bakalářská nebo jí odpovídající úroveň (bakalářské studium, VOŠ); ISCED 7 = magisterská nebo jí odpovídaj</w:t>
      </w:r>
      <w:r>
        <w:rPr>
          <w:sz w:val="20"/>
          <w:szCs w:val="20"/>
        </w:rPr>
        <w:t>ící úroveň; ISCED 8 = doktorská nebo jí odpovídající úroveň.</w:t>
      </w:r>
    </w:p>
    <w:p w14:paraId="6222D9CB" w14:textId="77777777" w:rsidR="00A7534A" w:rsidRDefault="00851A4C">
      <w:pPr>
        <w:spacing w:line="360" w:lineRule="auto"/>
        <w:jc w:val="center"/>
        <w:rPr>
          <w:sz w:val="22"/>
          <w:szCs w:val="22"/>
        </w:rPr>
      </w:pPr>
      <w:r>
        <w:rPr>
          <w:noProof/>
          <w:lang w:eastAsia="cs-CZ"/>
        </w:rPr>
        <w:lastRenderedPageBreak/>
        <w:drawing>
          <wp:inline distT="0" distB="0" distL="0" distR="6350" wp14:anchorId="6C021DBC" wp14:editId="283B93C9">
            <wp:extent cx="5594350" cy="2209800"/>
            <wp:effectExtent l="0" t="0" r="0" b="0"/>
            <wp:docPr id="2" name="Gra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2FDD" w14:textId="77777777" w:rsidR="00A7534A" w:rsidRDefault="00851A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Obrázek 2. </w:t>
      </w:r>
      <w:r>
        <w:rPr>
          <w:sz w:val="22"/>
          <w:szCs w:val="22"/>
        </w:rPr>
        <w:t>Míra zastoupení respondentů v </w:t>
      </w:r>
      <w:commentRangeStart w:id="7"/>
      <w:r>
        <w:rPr>
          <w:sz w:val="22"/>
          <w:szCs w:val="22"/>
        </w:rPr>
        <w:t>jednotlivých</w:t>
      </w:r>
      <w:commentRangeEnd w:id="7"/>
      <w:r>
        <w:rPr>
          <w:rStyle w:val="Odkaznakoment"/>
        </w:rPr>
        <w:commentReference w:id="7"/>
      </w:r>
      <w:r>
        <w:rPr>
          <w:sz w:val="22"/>
          <w:szCs w:val="22"/>
        </w:rPr>
        <w:t xml:space="preserve"> kategoriích nejvyššího dosaženého vzdělání.</w:t>
      </w:r>
    </w:p>
    <w:p w14:paraId="17DB1970" w14:textId="77777777" w:rsidR="00A7534A" w:rsidRDefault="00A7534A">
      <w:pPr>
        <w:spacing w:line="360" w:lineRule="auto"/>
      </w:pPr>
    </w:p>
    <w:sectPr w:rsidR="00A753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in Chval" w:date="2020-11-30T12:40:00Z" w:initials="MC">
    <w:p w14:paraId="14724B73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>Výborně, včetně té poznámky pod čarou!</w:t>
      </w:r>
    </w:p>
  </w:comment>
  <w:comment w:id="2" w:author="Martin Chval" w:date="2020-11-30T12:40:00Z" w:initials="MC">
    <w:p w14:paraId="7FC535BE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 xml:space="preserve">Zaokrouhlit stejně jako průměr, tedy na 1 des. Místo, a </w:t>
      </w:r>
      <w:proofErr w:type="spellStart"/>
      <w:r>
        <w:t>apky</w:t>
      </w:r>
      <w:proofErr w:type="spellEnd"/>
      <w:r>
        <w:t xml:space="preserve"> by bylo lepší místo SD uvádět s. o. v češtině, a někde, kde se to v práci uvádí poprvé je potřeba vysvětlit zkratku. </w:t>
      </w:r>
    </w:p>
  </w:comment>
  <w:comment w:id="3" w:author="Martin Chval" w:date="2020-11-30T12:41:00Z" w:initials="MC">
    <w:p w14:paraId="4BABB85A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 xml:space="preserve">Jak jsem komentoval při setkání, uvádět modus na jednotlivých letech není dobré, </w:t>
      </w:r>
      <w:proofErr w:type="spellStart"/>
      <w:r>
        <w:t>prootže</w:t>
      </w:r>
      <w:proofErr w:type="spellEnd"/>
      <w:r>
        <w:t xml:space="preserve"> to rozdělení je „zubaté“ (viz obr. 1), lepší je to až na určitých věkových intervalech.</w:t>
      </w:r>
    </w:p>
  </w:comment>
  <w:comment w:id="4" w:author="Martin Chval" w:date="2020-11-30T12:42:00Z" w:initials="MC">
    <w:p w14:paraId="15CC3821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>Ta procenta by stačila na 1 des místo.</w:t>
      </w:r>
    </w:p>
  </w:comment>
  <w:comment w:id="5" w:author="Martin Chval" w:date="2020-11-30T12:43:00Z" w:initials="MC">
    <w:p w14:paraId="5691FEE3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>Toto je dobré.</w:t>
      </w:r>
    </w:p>
  </w:comment>
  <w:comment w:id="6" w:author="Martin Chval" w:date="2020-11-30T12:44:00Z" w:initials="MC">
    <w:p w14:paraId="39EC2D72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>Důsledně pak % na 1 des. Místo všude.</w:t>
      </w:r>
    </w:p>
  </w:comment>
  <w:comment w:id="7" w:author="Martin Chval" w:date="2020-11-30T12:44:00Z" w:initials="MC">
    <w:p w14:paraId="3498463B" w14:textId="77777777" w:rsidR="00851A4C" w:rsidRDefault="00851A4C">
      <w:pPr>
        <w:pStyle w:val="Textkomente"/>
      </w:pPr>
      <w:r>
        <w:rPr>
          <w:rStyle w:val="Odkaznakoment"/>
        </w:rPr>
        <w:annotationRef/>
      </w:r>
      <w:r>
        <w:t>Zajímavá grafická prezentace, proč ne, jen to Celkem vyndejte, protože tam nepatří a ruší to v grafu.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24B73" w15:done="0"/>
  <w15:commentEx w15:paraId="7FC535BE" w15:done="0"/>
  <w15:commentEx w15:paraId="4BABB85A" w15:done="0"/>
  <w15:commentEx w15:paraId="15CC3821" w15:done="0"/>
  <w15:commentEx w15:paraId="5691FEE3" w15:done="0"/>
  <w15:commentEx w15:paraId="39EC2D72" w15:done="0"/>
  <w15:commentEx w15:paraId="349846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A26C" w14:textId="77777777" w:rsidR="00000000" w:rsidRDefault="00851A4C">
      <w:pPr>
        <w:spacing w:after="0" w:line="240" w:lineRule="auto"/>
      </w:pPr>
      <w:r>
        <w:separator/>
      </w:r>
    </w:p>
  </w:endnote>
  <w:endnote w:type="continuationSeparator" w:id="0">
    <w:p w14:paraId="6A93D0C2" w14:textId="77777777" w:rsidR="00000000" w:rsidRDefault="0085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19DD" w14:textId="77777777" w:rsidR="00A7534A" w:rsidRDefault="00851A4C">
      <w:r>
        <w:separator/>
      </w:r>
    </w:p>
  </w:footnote>
  <w:footnote w:type="continuationSeparator" w:id="0">
    <w:p w14:paraId="6362BBCD" w14:textId="77777777" w:rsidR="00A7534A" w:rsidRDefault="00851A4C">
      <w:r>
        <w:continuationSeparator/>
      </w:r>
    </w:p>
  </w:footnote>
  <w:footnote w:id="1">
    <w:p w14:paraId="3A29B42E" w14:textId="77777777" w:rsidR="00A7534A" w:rsidRDefault="00851A4C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t xml:space="preserve"> </w:t>
      </w:r>
      <w:r>
        <w:t xml:space="preserve">Procentuální zastoupení žen a mužů ve výzkumu přibližně odpovídá reálnému poměru obou pohlaví v učitelských sborech na druhém stupni základních škol. Podle zprávy MŠMT </w:t>
      </w:r>
      <w:r>
        <w:rPr>
          <w:i/>
        </w:rPr>
        <w:t>Genderová problematika zaměstnanců ve školství</w:t>
      </w:r>
      <w:r>
        <w:t xml:space="preserve"> tvořili muži v roce 2018 22,2 % druhostup</w:t>
      </w:r>
      <w:r>
        <w:t>ňových vyučujících.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Chval">
    <w15:presenceInfo w15:providerId="Windows Live" w15:userId="accc82a59229a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4A"/>
    <w:rsid w:val="00803358"/>
    <w:rsid w:val="00851A4C"/>
    <w:rsid w:val="00A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1FBB"/>
  <w15:docId w15:val="{DB30C0BD-77DF-4BB4-B831-E501C9F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C3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91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B1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91C3B"/>
  </w:style>
  <w:style w:type="character" w:customStyle="1" w:styleId="ZpatChar">
    <w:name w:val="Zápatí Char"/>
    <w:basedOn w:val="Standardnpsmoodstavce"/>
    <w:link w:val="Zpat"/>
    <w:uiPriority w:val="99"/>
    <w:qFormat/>
    <w:rsid w:val="00E91C3B"/>
  </w:style>
  <w:style w:type="character" w:customStyle="1" w:styleId="NzevChar">
    <w:name w:val="Název Char"/>
    <w:basedOn w:val="Standardnpsmoodstavce"/>
    <w:link w:val="Nzev"/>
    <w:uiPriority w:val="10"/>
    <w:qFormat/>
    <w:rsid w:val="00E91C3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1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5B1026"/>
    <w:rPr>
      <w:rFonts w:ascii="Times New Roman" w:hAnsi="Times New Roman" w:cs="Times New Roman"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5B102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5B10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E91C3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91C3B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E91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026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1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A4C"/>
    <w:rPr>
      <w:rFonts w:ascii="Times New Roma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A4C"/>
    <w:rPr>
      <w:rFonts w:ascii="Times New Roman" w:hAnsi="Times New Roman" w:cs="Times New Roman"/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0"/>
  <c:style val="2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ln w="28440">
              <a:solidFill>
                <a:srgbClr val="4472C4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6"/>
                <c:pt idx="0">
                  <c:v>19</c:v>
                </c:pt>
                <c:pt idx="1">
                  <c:v>20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58</c:v>
                </c:pt>
                <c:pt idx="39">
                  <c:v>59</c:v>
                </c:pt>
                <c:pt idx="40">
                  <c:v>60</c:v>
                </c:pt>
                <c:pt idx="41">
                  <c:v>61</c:v>
                </c:pt>
                <c:pt idx="42">
                  <c:v>62</c:v>
                </c:pt>
                <c:pt idx="43">
                  <c:v>63</c:v>
                </c:pt>
                <c:pt idx="44">
                  <c:v>64</c:v>
                </c:pt>
                <c:pt idx="45">
                  <c:v>65</c:v>
                </c:pt>
                <c:pt idx="46">
                  <c:v>66</c:v>
                </c:pt>
                <c:pt idx="47">
                  <c:v>67</c:v>
                </c:pt>
                <c:pt idx="48">
                  <c:v>68</c:v>
                </c:pt>
                <c:pt idx="49">
                  <c:v>69</c:v>
                </c:pt>
                <c:pt idx="50">
                  <c:v>70</c:v>
                </c:pt>
                <c:pt idx="51">
                  <c:v>71</c:v>
                </c:pt>
                <c:pt idx="52">
                  <c:v>72</c:v>
                </c:pt>
                <c:pt idx="53">
                  <c:v>73</c:v>
                </c:pt>
                <c:pt idx="54">
                  <c:v>76</c:v>
                </c:pt>
                <c:pt idx="55">
                  <c:v>NA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6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12</c:v>
                </c:pt>
                <c:pt idx="4">
                  <c:v>15</c:v>
                </c:pt>
                <c:pt idx="5">
                  <c:v>31</c:v>
                </c:pt>
                <c:pt idx="6">
                  <c:v>54</c:v>
                </c:pt>
                <c:pt idx="7">
                  <c:v>69</c:v>
                </c:pt>
                <c:pt idx="8">
                  <c:v>70</c:v>
                </c:pt>
                <c:pt idx="9">
                  <c:v>67</c:v>
                </c:pt>
                <c:pt idx="10">
                  <c:v>74</c:v>
                </c:pt>
                <c:pt idx="11">
                  <c:v>40</c:v>
                </c:pt>
                <c:pt idx="12">
                  <c:v>67</c:v>
                </c:pt>
                <c:pt idx="13">
                  <c:v>67</c:v>
                </c:pt>
                <c:pt idx="14">
                  <c:v>62</c:v>
                </c:pt>
                <c:pt idx="15">
                  <c:v>78</c:v>
                </c:pt>
                <c:pt idx="16">
                  <c:v>79</c:v>
                </c:pt>
                <c:pt idx="17">
                  <c:v>92</c:v>
                </c:pt>
                <c:pt idx="18">
                  <c:v>92</c:v>
                </c:pt>
                <c:pt idx="19">
                  <c:v>114</c:v>
                </c:pt>
                <c:pt idx="20">
                  <c:v>134</c:v>
                </c:pt>
                <c:pt idx="21">
                  <c:v>128</c:v>
                </c:pt>
                <c:pt idx="22">
                  <c:v>117</c:v>
                </c:pt>
                <c:pt idx="23">
                  <c:v>128</c:v>
                </c:pt>
                <c:pt idx="24">
                  <c:v>105</c:v>
                </c:pt>
                <c:pt idx="25">
                  <c:v>104</c:v>
                </c:pt>
                <c:pt idx="26">
                  <c:v>80</c:v>
                </c:pt>
                <c:pt idx="27">
                  <c:v>80</c:v>
                </c:pt>
                <c:pt idx="28">
                  <c:v>84</c:v>
                </c:pt>
                <c:pt idx="29">
                  <c:v>105</c:v>
                </c:pt>
                <c:pt idx="30">
                  <c:v>105</c:v>
                </c:pt>
                <c:pt idx="31">
                  <c:v>91</c:v>
                </c:pt>
                <c:pt idx="32">
                  <c:v>93</c:v>
                </c:pt>
                <c:pt idx="33">
                  <c:v>96</c:v>
                </c:pt>
                <c:pt idx="34">
                  <c:v>108</c:v>
                </c:pt>
                <c:pt idx="35">
                  <c:v>107</c:v>
                </c:pt>
                <c:pt idx="36">
                  <c:v>97</c:v>
                </c:pt>
                <c:pt idx="37">
                  <c:v>97</c:v>
                </c:pt>
                <c:pt idx="38">
                  <c:v>92</c:v>
                </c:pt>
                <c:pt idx="39">
                  <c:v>79</c:v>
                </c:pt>
                <c:pt idx="40">
                  <c:v>74</c:v>
                </c:pt>
                <c:pt idx="41">
                  <c:v>50</c:v>
                </c:pt>
                <c:pt idx="42">
                  <c:v>49</c:v>
                </c:pt>
                <c:pt idx="43">
                  <c:v>30</c:v>
                </c:pt>
                <c:pt idx="44">
                  <c:v>35</c:v>
                </c:pt>
                <c:pt idx="45">
                  <c:v>22</c:v>
                </c:pt>
                <c:pt idx="46">
                  <c:v>20</c:v>
                </c:pt>
                <c:pt idx="47">
                  <c:v>9</c:v>
                </c:pt>
                <c:pt idx="48">
                  <c:v>10</c:v>
                </c:pt>
                <c:pt idx="49">
                  <c:v>7</c:v>
                </c:pt>
                <c:pt idx="50">
                  <c:v>4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1</c:v>
                </c:pt>
                <c:pt idx="55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290148200"/>
        <c:axId val="290148584"/>
      </c:lineChart>
      <c:catAx>
        <c:axId val="290148200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0" strike="noStrike" spc="-1">
                    <a:solidFill>
                      <a:srgbClr val="595959"/>
                    </a:solidFill>
                    <a:latin typeface="Times New Roman"/>
                  </a:defRPr>
                </a:pPr>
                <a:r>
                  <a:rPr lang="cs-CZ" sz="1000" b="0" strike="noStrike" spc="-1">
                    <a:solidFill>
                      <a:srgbClr val="595959"/>
                    </a:solidFill>
                    <a:latin typeface="Times New Roman"/>
                  </a:rPr>
                  <a:t>Věk</a:t>
                </a:r>
              </a:p>
            </c:rich>
          </c:tx>
          <c:layout/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Times New Roman"/>
              </a:defRPr>
            </a:pPr>
            <a:endParaRPr lang="cs-CZ"/>
          </a:p>
        </c:txPr>
        <c:crossAx val="290148584"/>
        <c:crosses val="autoZero"/>
        <c:auto val="1"/>
        <c:lblAlgn val="ctr"/>
        <c:lblOffset val="100"/>
        <c:noMultiLvlLbl val="1"/>
      </c:catAx>
      <c:valAx>
        <c:axId val="290148584"/>
        <c:scaling>
          <c:orientation val="minMax"/>
          <c:max val="14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000" b="0" strike="noStrike" spc="-1">
                    <a:solidFill>
                      <a:srgbClr val="595959"/>
                    </a:solidFill>
                    <a:latin typeface="Times New Roman"/>
                  </a:defRPr>
                </a:pPr>
                <a:r>
                  <a:rPr lang="cs-CZ" sz="1000" b="0" strike="noStrike" spc="-1">
                    <a:solidFill>
                      <a:srgbClr val="595959"/>
                    </a:solidFill>
                    <a:latin typeface="Times New Roman"/>
                  </a:rPr>
                  <a:t>Počet respondentů</a:t>
                </a:r>
              </a:p>
            </c:rich>
          </c:tx>
          <c:layout/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Times New Roman"/>
              </a:defRPr>
            </a:pPr>
            <a:endParaRPr lang="cs-CZ"/>
          </a:p>
        </c:txPr>
        <c:crossAx val="290148200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4283-DDD5-4E95-A3E9-BF8C0899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Gal</dc:creator>
  <dc:description/>
  <cp:lastModifiedBy>Martin Chval</cp:lastModifiedBy>
  <cp:revision>3</cp:revision>
  <dcterms:created xsi:type="dcterms:W3CDTF">2020-11-30T11:39:00Z</dcterms:created>
  <dcterms:modified xsi:type="dcterms:W3CDTF">2020-11-30T11:45:00Z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