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5CC23" w14:textId="67DB5ED8" w:rsidR="00FF025A" w:rsidRPr="00854FF3" w:rsidRDefault="00FF025A" w:rsidP="00FF025A">
      <w:pPr>
        <w:spacing w:after="120"/>
        <w:rPr>
          <w:rFonts w:ascii="Garamond" w:hAnsi="Garamond"/>
          <w:sz w:val="22"/>
          <w:szCs w:val="22"/>
        </w:rPr>
      </w:pPr>
      <w:r w:rsidRPr="00854FF3">
        <w:rPr>
          <w:rFonts w:ascii="Garamond" w:hAnsi="Garamond"/>
          <w:sz w:val="22"/>
          <w:szCs w:val="22"/>
        </w:rPr>
        <w:t>Muňoz, José Esteban (2007) A jeté out of the window: Fred Herko</w:t>
      </w:r>
      <w:r w:rsidR="00016A2A">
        <w:rPr>
          <w:rFonts w:ascii="Garamond" w:hAnsi="Garamond"/>
          <w:sz w:val="22"/>
          <w:szCs w:val="22"/>
          <w:lang w:val="en-US"/>
        </w:rPr>
        <w:t>’</w:t>
      </w:r>
      <w:r w:rsidRPr="00854FF3">
        <w:rPr>
          <w:rFonts w:ascii="Garamond" w:hAnsi="Garamond"/>
          <w:sz w:val="22"/>
          <w:szCs w:val="22"/>
        </w:rPr>
        <w:t xml:space="preserve">s incandescent illumination’, In </w:t>
      </w:r>
      <w:r w:rsidRPr="00854FF3">
        <w:rPr>
          <w:rFonts w:ascii="Garamond" w:hAnsi="Garamond"/>
          <w:i/>
          <w:iCs/>
          <w:sz w:val="22"/>
          <w:szCs w:val="22"/>
        </w:rPr>
        <w:t>Cruising Utopia: The There and Then of Queer Futurity</w:t>
      </w:r>
      <w:r w:rsidRPr="00854FF3">
        <w:rPr>
          <w:rFonts w:ascii="Garamond" w:hAnsi="Garamond"/>
          <w:sz w:val="22"/>
          <w:szCs w:val="22"/>
        </w:rPr>
        <w:t xml:space="preserve">, pp. 147-167, New York: New York University Press. </w:t>
      </w:r>
    </w:p>
    <w:p w14:paraId="179FC167" w14:textId="4E8143F3" w:rsidR="00FF025A" w:rsidRDefault="00FF025A" w:rsidP="00F877C1">
      <w:pPr>
        <w:spacing w:after="120"/>
        <w:rPr>
          <w:rFonts w:ascii="Garamond" w:hAnsi="Garamond" w:cs="Arial"/>
          <w:sz w:val="26"/>
          <w:szCs w:val="26"/>
        </w:rPr>
      </w:pPr>
      <w:r w:rsidRPr="00854FF3">
        <w:rPr>
          <w:rFonts w:ascii="Garamond" w:hAnsi="Garamond" w:cs="Arial"/>
          <w:sz w:val="22"/>
          <w:szCs w:val="22"/>
        </w:rPr>
        <w:t xml:space="preserve">Hayward, Eva (2008) ‘More lessons from a starfish: Prefixial flesh and transspeciated selves’, </w:t>
      </w:r>
      <w:r w:rsidRPr="00854FF3">
        <w:rPr>
          <w:rFonts w:ascii="Garamond" w:hAnsi="Garamond" w:cs="Arial"/>
          <w:i/>
          <w:sz w:val="22"/>
          <w:szCs w:val="22"/>
        </w:rPr>
        <w:t>Women’s Studies Quarterly</w:t>
      </w:r>
      <w:r w:rsidRPr="00854FF3">
        <w:rPr>
          <w:rFonts w:ascii="Garamond" w:hAnsi="Garamond" w:cs="Arial"/>
          <w:sz w:val="22"/>
          <w:szCs w:val="22"/>
        </w:rPr>
        <w:t xml:space="preserve"> 36 (3/4): 64-85.</w:t>
      </w:r>
      <w:r w:rsidRPr="00382280">
        <w:rPr>
          <w:rFonts w:ascii="Garamond" w:hAnsi="Garamond" w:cs="Arial"/>
          <w:sz w:val="26"/>
          <w:szCs w:val="26"/>
        </w:rPr>
        <w:t xml:space="preserve"> </w:t>
      </w:r>
    </w:p>
    <w:p w14:paraId="501894AC" w14:textId="77777777" w:rsidR="00F877C1" w:rsidRPr="00F877C1" w:rsidRDefault="00F877C1" w:rsidP="00F877C1">
      <w:pPr>
        <w:spacing w:after="120"/>
        <w:rPr>
          <w:rFonts w:ascii="Garamond" w:hAnsi="Garamond" w:cs="Arial"/>
          <w:sz w:val="26"/>
          <w:szCs w:val="26"/>
        </w:rPr>
      </w:pPr>
    </w:p>
    <w:p w14:paraId="1FDD54AA" w14:textId="77777777" w:rsidR="00FF025A" w:rsidRDefault="00FF025A" w:rsidP="00FF025A">
      <w:pPr>
        <w:rPr>
          <w:rFonts w:ascii="Garamond" w:eastAsia="Times New Roman" w:hAnsi="Garamond" w:cstheme="minorHAnsi"/>
          <w:b/>
          <w:bCs/>
          <w:color w:val="0D0D0D" w:themeColor="text1" w:themeTint="F2"/>
          <w:sz w:val="22"/>
          <w:szCs w:val="22"/>
          <w:lang w:eastAsia="en-GB"/>
        </w:rPr>
      </w:pPr>
    </w:p>
    <w:p w14:paraId="2965EAD5" w14:textId="77777777" w:rsidR="00F877C1" w:rsidRDefault="00FF025A" w:rsidP="00FF025A">
      <w:pPr>
        <w:rPr>
          <w:rFonts w:ascii="Garamond" w:eastAsia="Times New Roman" w:hAnsi="Garamond" w:cstheme="minorHAnsi"/>
          <w:b/>
          <w:bCs/>
          <w:color w:val="0D0D0D" w:themeColor="text1" w:themeTint="F2"/>
          <w:sz w:val="22"/>
          <w:szCs w:val="22"/>
          <w:lang w:eastAsia="en-GB"/>
        </w:rPr>
      </w:pPr>
      <w:r w:rsidRPr="00F24728">
        <w:rPr>
          <w:rFonts w:ascii="Garamond" w:eastAsia="Times New Roman" w:hAnsi="Garamond" w:cstheme="minorHAnsi"/>
          <w:b/>
          <w:bCs/>
          <w:color w:val="0D0D0D" w:themeColor="text1" w:themeTint="F2"/>
          <w:sz w:val="22"/>
          <w:szCs w:val="22"/>
          <w:lang w:eastAsia="en-GB"/>
        </w:rPr>
        <w:t>How do you understand the notion of trans-speciation?</w:t>
      </w:r>
      <w:r w:rsidRPr="00043C4A">
        <w:rPr>
          <w:rFonts w:ascii="Garamond" w:eastAsia="Times New Roman" w:hAnsi="Garamond" w:cstheme="minorHAnsi"/>
          <w:b/>
          <w:bCs/>
          <w:color w:val="0D0D0D" w:themeColor="text1" w:themeTint="F2"/>
          <w:sz w:val="22"/>
          <w:szCs w:val="22"/>
          <w:lang w:eastAsia="en-GB"/>
        </w:rPr>
        <w:t xml:space="preserve"> What does Hayward mean when referring to the starfish as being “more than a metaphor”? How does she understand metaphor differently from merely a figure of speech?</w:t>
      </w:r>
      <w:r w:rsidRPr="00F24728">
        <w:rPr>
          <w:rFonts w:ascii="Garamond" w:eastAsia="Times New Roman" w:hAnsi="Garamond" w:cstheme="minorHAnsi"/>
          <w:b/>
          <w:bCs/>
          <w:color w:val="0D0D0D" w:themeColor="text1" w:themeTint="F2"/>
          <w:sz w:val="22"/>
          <w:szCs w:val="22"/>
          <w:lang w:eastAsia="en-GB"/>
        </w:rPr>
        <w:t xml:space="preserve"> </w:t>
      </w:r>
    </w:p>
    <w:p w14:paraId="738BAA74" w14:textId="77777777" w:rsidR="00F877C1" w:rsidRDefault="00F877C1" w:rsidP="00FF025A">
      <w:pPr>
        <w:rPr>
          <w:rFonts w:ascii="Garamond" w:eastAsia="Times New Roman" w:hAnsi="Garamond" w:cstheme="minorHAnsi"/>
          <w:b/>
          <w:bCs/>
          <w:color w:val="0D0D0D" w:themeColor="text1" w:themeTint="F2"/>
          <w:sz w:val="22"/>
          <w:szCs w:val="22"/>
          <w:lang w:eastAsia="en-GB"/>
        </w:rPr>
      </w:pPr>
    </w:p>
    <w:p w14:paraId="1FE9AE3A" w14:textId="565409C7" w:rsidR="00FF025A" w:rsidRDefault="00F877C1" w:rsidP="00FF025A">
      <w:pPr>
        <w:rPr>
          <w:rFonts w:ascii="Garamond" w:eastAsia="Times New Roman" w:hAnsi="Garamond" w:cstheme="minorHAnsi"/>
          <w:color w:val="0D0D0D" w:themeColor="text1" w:themeTint="F2"/>
          <w:sz w:val="22"/>
          <w:szCs w:val="22"/>
          <w:lang w:val="en-US" w:eastAsia="en-GB"/>
        </w:rPr>
      </w:pPr>
      <w:r w:rsidRPr="00F877C1">
        <w:rPr>
          <w:rFonts w:ascii="Garamond" w:eastAsia="Times New Roman" w:hAnsi="Garamond" w:cstheme="minorHAnsi"/>
          <w:color w:val="0D0D0D" w:themeColor="text1" w:themeTint="F2"/>
          <w:sz w:val="18"/>
          <w:szCs w:val="18"/>
          <w:lang w:val="en-US" w:eastAsia="en-GB"/>
        </w:rPr>
        <w:t xml:space="preserve">Note: Upon reading the texts, the topics in question were not too clear in my mind and only became more elaborate in the process of writing. Thus, please, excuse </w:t>
      </w:r>
      <w:r>
        <w:rPr>
          <w:rFonts w:ascii="Garamond" w:eastAsia="Times New Roman" w:hAnsi="Garamond" w:cstheme="minorHAnsi"/>
          <w:color w:val="0D0D0D" w:themeColor="text1" w:themeTint="F2"/>
          <w:sz w:val="18"/>
          <w:szCs w:val="18"/>
          <w:lang w:val="en-US" w:eastAsia="en-GB"/>
        </w:rPr>
        <w:t xml:space="preserve">me for troubling you with </w:t>
      </w:r>
      <w:r w:rsidRPr="00F877C1">
        <w:rPr>
          <w:rFonts w:ascii="Garamond" w:eastAsia="Times New Roman" w:hAnsi="Garamond" w:cstheme="minorHAnsi"/>
          <w:color w:val="0D0D0D" w:themeColor="text1" w:themeTint="F2"/>
          <w:sz w:val="18"/>
          <w:szCs w:val="18"/>
          <w:lang w:val="en-US" w:eastAsia="en-GB"/>
        </w:rPr>
        <w:t xml:space="preserve">the clumsy </w:t>
      </w:r>
      <w:r>
        <w:rPr>
          <w:rFonts w:ascii="Garamond" w:eastAsia="Times New Roman" w:hAnsi="Garamond" w:cstheme="minorHAnsi"/>
          <w:color w:val="0D0D0D" w:themeColor="text1" w:themeTint="F2"/>
          <w:sz w:val="18"/>
          <w:szCs w:val="18"/>
          <w:lang w:val="en-US" w:eastAsia="en-GB"/>
        </w:rPr>
        <w:t xml:space="preserve">wording of the following answer. </w:t>
      </w:r>
      <w:r w:rsidR="00FF025A" w:rsidRPr="00F24728">
        <w:rPr>
          <w:rFonts w:ascii="Garamond" w:eastAsia="Times New Roman" w:hAnsi="Garamond" w:cstheme="minorHAnsi"/>
          <w:b/>
          <w:bCs/>
          <w:color w:val="0D0D0D" w:themeColor="text1" w:themeTint="F2"/>
          <w:sz w:val="22"/>
          <w:szCs w:val="22"/>
          <w:lang w:eastAsia="en-GB"/>
        </w:rPr>
        <w:br/>
      </w:r>
      <w:r w:rsidR="00FF025A" w:rsidRPr="002B3573">
        <w:rPr>
          <w:rFonts w:ascii="Garamond" w:eastAsia="Times New Roman" w:hAnsi="Garamond" w:cstheme="minorHAnsi"/>
          <w:color w:val="0D0D0D" w:themeColor="text1" w:themeTint="F2"/>
          <w:sz w:val="22"/>
          <w:szCs w:val="22"/>
          <w:lang w:eastAsia="en-GB"/>
        </w:rPr>
        <w:br/>
      </w:r>
      <w:r w:rsidR="00FF025A">
        <w:rPr>
          <w:rFonts w:ascii="Garamond" w:eastAsia="Times New Roman" w:hAnsi="Garamond" w:cstheme="minorHAnsi"/>
          <w:color w:val="0D0D0D" w:themeColor="text1" w:themeTint="F2"/>
          <w:sz w:val="22"/>
          <w:szCs w:val="22"/>
          <w:lang w:val="en-US" w:eastAsia="en-GB"/>
        </w:rPr>
        <w:t>Eva Hayward defines metaphor as a “</w:t>
      </w:r>
      <w:r w:rsidR="00FF025A" w:rsidRPr="002B3573">
        <w:rPr>
          <w:rFonts w:ascii="Garamond" w:eastAsia="Times New Roman" w:hAnsi="Garamond" w:cstheme="minorHAnsi"/>
          <w:color w:val="0D0D0D" w:themeColor="text1" w:themeTint="F2"/>
          <w:sz w:val="22"/>
          <w:szCs w:val="22"/>
          <w:lang w:val="en-US" w:eastAsia="en-GB"/>
        </w:rPr>
        <w:t>displacement</w:t>
      </w:r>
      <w:r w:rsidR="00FF025A">
        <w:rPr>
          <w:rFonts w:ascii="Garamond" w:eastAsia="Times New Roman" w:hAnsi="Garamond" w:cstheme="minorHAnsi"/>
          <w:color w:val="0D0D0D" w:themeColor="text1" w:themeTint="F2"/>
          <w:sz w:val="22"/>
          <w:szCs w:val="22"/>
          <w:lang w:val="en-US" w:eastAsia="en-GB"/>
        </w:rPr>
        <w:t>”</w:t>
      </w:r>
      <w:r w:rsidR="00FF025A" w:rsidRPr="002B3573">
        <w:rPr>
          <w:rFonts w:ascii="Garamond" w:eastAsia="Times New Roman" w:hAnsi="Garamond" w:cstheme="minorHAnsi"/>
          <w:color w:val="0D0D0D" w:themeColor="text1" w:themeTint="F2"/>
          <w:sz w:val="22"/>
          <w:szCs w:val="22"/>
          <w:lang w:val="en-US" w:eastAsia="en-GB"/>
        </w:rPr>
        <w:t xml:space="preserve"> </w:t>
      </w:r>
      <w:r w:rsidR="00FF025A">
        <w:rPr>
          <w:rFonts w:ascii="Garamond" w:eastAsia="Times New Roman" w:hAnsi="Garamond" w:cstheme="minorHAnsi"/>
          <w:color w:val="0D0D0D" w:themeColor="text1" w:themeTint="F2"/>
          <w:sz w:val="22"/>
          <w:szCs w:val="22"/>
          <w:lang w:val="en-US" w:eastAsia="en-GB"/>
        </w:rPr>
        <w:t>where one word i.e., a “</w:t>
      </w:r>
      <w:r w:rsidR="00FF025A" w:rsidRPr="002B3573">
        <w:rPr>
          <w:rFonts w:ascii="Garamond" w:eastAsia="Times New Roman" w:hAnsi="Garamond" w:cstheme="minorHAnsi"/>
          <w:color w:val="0D0D0D" w:themeColor="text1" w:themeTint="F2"/>
          <w:sz w:val="22"/>
          <w:szCs w:val="22"/>
          <w:lang w:val="en-US" w:eastAsia="en-GB"/>
        </w:rPr>
        <w:t>nominative term</w:t>
      </w:r>
      <w:r w:rsidR="00FF025A">
        <w:rPr>
          <w:rFonts w:ascii="Garamond" w:eastAsia="Times New Roman" w:hAnsi="Garamond" w:cstheme="minorHAnsi"/>
          <w:color w:val="0D0D0D" w:themeColor="text1" w:themeTint="F2"/>
          <w:sz w:val="22"/>
          <w:szCs w:val="22"/>
          <w:lang w:val="en-US" w:eastAsia="en-GB"/>
        </w:rPr>
        <w:t>”</w:t>
      </w:r>
      <w:r w:rsidR="00FF025A" w:rsidRPr="002B3573">
        <w:rPr>
          <w:rFonts w:ascii="Garamond" w:eastAsia="Times New Roman" w:hAnsi="Garamond" w:cstheme="minorHAnsi"/>
          <w:color w:val="0D0D0D" w:themeColor="text1" w:themeTint="F2"/>
          <w:sz w:val="22"/>
          <w:szCs w:val="22"/>
          <w:lang w:val="en-US" w:eastAsia="en-GB"/>
        </w:rPr>
        <w:t xml:space="preserve"> is </w:t>
      </w:r>
      <w:r w:rsidR="00FF025A">
        <w:rPr>
          <w:rFonts w:ascii="Garamond" w:eastAsia="Times New Roman" w:hAnsi="Garamond" w:cstheme="minorHAnsi"/>
          <w:color w:val="0D0D0D" w:themeColor="text1" w:themeTint="F2"/>
          <w:sz w:val="22"/>
          <w:szCs w:val="22"/>
          <w:lang w:val="en-US" w:eastAsia="en-GB"/>
        </w:rPr>
        <w:t>“</w:t>
      </w:r>
      <w:r w:rsidR="00FF025A" w:rsidRPr="002B3573">
        <w:rPr>
          <w:rFonts w:ascii="Garamond" w:eastAsia="Times New Roman" w:hAnsi="Garamond" w:cstheme="minorHAnsi"/>
          <w:color w:val="0D0D0D" w:themeColor="text1" w:themeTint="F2"/>
          <w:sz w:val="22"/>
          <w:szCs w:val="22"/>
          <w:lang w:val="en-US" w:eastAsia="en-GB"/>
        </w:rPr>
        <w:t xml:space="preserve">displaced from its everyday context and placed elsewhere </w:t>
      </w:r>
      <w:r w:rsidR="00016A2A">
        <w:rPr>
          <w:rFonts w:ascii="Garamond" w:eastAsia="Times New Roman" w:hAnsi="Garamond" w:cstheme="minorHAnsi"/>
          <w:color w:val="0D0D0D" w:themeColor="text1" w:themeTint="F2"/>
          <w:sz w:val="22"/>
          <w:szCs w:val="22"/>
          <w:lang w:val="en-US" w:eastAsia="en-GB"/>
        </w:rPr>
        <w:t>to</w:t>
      </w:r>
      <w:r w:rsidR="00FF025A" w:rsidRPr="002B3573">
        <w:rPr>
          <w:rFonts w:ascii="Garamond" w:eastAsia="Times New Roman" w:hAnsi="Garamond" w:cstheme="minorHAnsi"/>
          <w:color w:val="0D0D0D" w:themeColor="text1" w:themeTint="F2"/>
          <w:sz w:val="22"/>
          <w:szCs w:val="22"/>
          <w:lang w:val="en-US" w:eastAsia="en-GB"/>
        </w:rPr>
        <w:t xml:space="preserve"> illuminate some other context through its </w:t>
      </w:r>
      <w:r w:rsidR="00FF025A" w:rsidRPr="0028180D">
        <w:rPr>
          <w:rFonts w:ascii="Garamond" w:eastAsia="Times New Roman" w:hAnsi="Garamond" w:cstheme="minorHAnsi"/>
          <w:i/>
          <w:iCs/>
          <w:color w:val="0D0D0D" w:themeColor="text1" w:themeTint="F2"/>
          <w:sz w:val="22"/>
          <w:szCs w:val="22"/>
          <w:lang w:val="en-US" w:eastAsia="en-GB"/>
        </w:rPr>
        <w:t>reconfiguration</w:t>
      </w:r>
      <w:r w:rsidR="00FF025A">
        <w:rPr>
          <w:rFonts w:ascii="Garamond" w:eastAsia="Times New Roman" w:hAnsi="Garamond" w:cstheme="minorHAnsi"/>
          <w:color w:val="0D0D0D" w:themeColor="text1" w:themeTint="F2"/>
          <w:sz w:val="22"/>
          <w:szCs w:val="22"/>
          <w:lang w:val="en-US" w:eastAsia="en-GB"/>
        </w:rPr>
        <w:t>” (p. 74 italics added). That is to say</w:t>
      </w:r>
      <w:r w:rsidR="00016A2A">
        <w:rPr>
          <w:rFonts w:ascii="Garamond" w:eastAsia="Times New Roman" w:hAnsi="Garamond" w:cstheme="minorHAnsi"/>
          <w:color w:val="0D0D0D" w:themeColor="text1" w:themeTint="F2"/>
          <w:sz w:val="22"/>
          <w:szCs w:val="22"/>
          <w:lang w:val="en-US" w:eastAsia="en-GB"/>
        </w:rPr>
        <w:t>,</w:t>
      </w:r>
      <w:r w:rsidR="00FF025A">
        <w:rPr>
          <w:rFonts w:ascii="Garamond" w:eastAsia="Times New Roman" w:hAnsi="Garamond" w:cstheme="minorHAnsi"/>
          <w:color w:val="0D0D0D" w:themeColor="text1" w:themeTint="F2"/>
          <w:sz w:val="22"/>
          <w:szCs w:val="22"/>
          <w:lang w:val="en-US" w:eastAsia="en-GB"/>
        </w:rPr>
        <w:t xml:space="preserve"> the metaphor is by its very nature qualitatively different from the object(s) it represents in their strict sense. The metaphor instead moves between ideas as to connect them in a sense different than the literal. Thus, </w:t>
      </w:r>
      <w:r w:rsidR="00016A2A">
        <w:rPr>
          <w:rFonts w:ascii="Garamond" w:eastAsia="Times New Roman" w:hAnsi="Garamond" w:cstheme="minorHAnsi"/>
          <w:color w:val="0D0D0D" w:themeColor="text1" w:themeTint="F2"/>
          <w:sz w:val="22"/>
          <w:szCs w:val="22"/>
          <w:lang w:val="en-US" w:eastAsia="en-GB"/>
        </w:rPr>
        <w:t xml:space="preserve">the </w:t>
      </w:r>
      <w:r w:rsidR="00FF025A">
        <w:rPr>
          <w:rFonts w:ascii="Garamond" w:eastAsia="Times New Roman" w:hAnsi="Garamond" w:cstheme="minorHAnsi"/>
          <w:color w:val="0D0D0D" w:themeColor="text1" w:themeTint="F2"/>
          <w:sz w:val="22"/>
          <w:szCs w:val="22"/>
          <w:lang w:val="en-US" w:eastAsia="en-GB"/>
        </w:rPr>
        <w:t xml:space="preserve">author ponders on </w:t>
      </w:r>
      <w:r w:rsidR="00016A2A">
        <w:rPr>
          <w:rFonts w:ascii="Garamond" w:eastAsia="Times New Roman" w:hAnsi="Garamond" w:cstheme="minorHAnsi"/>
          <w:color w:val="0D0D0D" w:themeColor="text1" w:themeTint="F2"/>
          <w:sz w:val="22"/>
          <w:szCs w:val="22"/>
          <w:lang w:val="en-US" w:eastAsia="en-GB"/>
        </w:rPr>
        <w:t xml:space="preserve">the </w:t>
      </w:r>
      <w:r w:rsidR="00FF025A">
        <w:rPr>
          <w:rFonts w:ascii="Garamond" w:eastAsia="Times New Roman" w:hAnsi="Garamond" w:cstheme="minorHAnsi"/>
          <w:color w:val="0D0D0D" w:themeColor="text1" w:themeTint="F2"/>
          <w:sz w:val="22"/>
          <w:szCs w:val="22"/>
          <w:lang w:val="en-US" w:eastAsia="en-GB"/>
        </w:rPr>
        <w:t xml:space="preserve">lyrical image of the starfish and suggests that it – the starfish – could be interpreted as “more than a metaphor” or more otherwise as something that exceeds the semantic, </w:t>
      </w:r>
      <w:r w:rsidR="00016A2A">
        <w:rPr>
          <w:rFonts w:ascii="Garamond" w:eastAsia="Times New Roman" w:hAnsi="Garamond" w:cstheme="minorHAnsi"/>
          <w:color w:val="0D0D0D" w:themeColor="text1" w:themeTint="F2"/>
          <w:sz w:val="22"/>
          <w:szCs w:val="22"/>
          <w:lang w:val="en-US" w:eastAsia="en-GB"/>
        </w:rPr>
        <w:t>human-made</w:t>
      </w:r>
      <w:r w:rsidR="00FF025A">
        <w:rPr>
          <w:rFonts w:ascii="Garamond" w:eastAsia="Times New Roman" w:hAnsi="Garamond" w:cstheme="minorHAnsi"/>
          <w:color w:val="0D0D0D" w:themeColor="text1" w:themeTint="F2"/>
          <w:sz w:val="22"/>
          <w:szCs w:val="22"/>
          <w:lang w:val="en-US" w:eastAsia="en-GB"/>
        </w:rPr>
        <w:t xml:space="preserve"> properties of the metaphor – “</w:t>
      </w:r>
      <w:r w:rsidR="00FF025A" w:rsidRPr="000F4034">
        <w:rPr>
          <w:rFonts w:ascii="Garamond" w:eastAsia="Times New Roman" w:hAnsi="Garamond" w:cstheme="minorHAnsi"/>
          <w:color w:val="0D0D0D" w:themeColor="text1" w:themeTint="F2"/>
          <w:sz w:val="22"/>
          <w:szCs w:val="22"/>
          <w:lang w:val="en-US" w:eastAsia="en-GB"/>
        </w:rPr>
        <w:t>because starfish is only ever partially digested, defined, explained, used by language.</w:t>
      </w:r>
      <w:r w:rsidR="00FF025A">
        <w:rPr>
          <w:rFonts w:ascii="Garamond" w:eastAsia="Times New Roman" w:hAnsi="Garamond" w:cstheme="minorHAnsi"/>
          <w:color w:val="0D0D0D" w:themeColor="text1" w:themeTint="F2"/>
          <w:sz w:val="22"/>
          <w:szCs w:val="22"/>
          <w:lang w:val="en-US" w:eastAsia="en-GB"/>
        </w:rPr>
        <w:t>” (p. 75). Hayward instead proposes, after Lippit, the notion of “</w:t>
      </w:r>
      <w:r w:rsidR="00FF025A" w:rsidRPr="000F4034">
        <w:rPr>
          <w:rFonts w:ascii="Garamond" w:eastAsia="Times New Roman" w:hAnsi="Garamond" w:cstheme="minorHAnsi"/>
          <w:i/>
          <w:iCs/>
          <w:color w:val="0D0D0D" w:themeColor="text1" w:themeTint="F2"/>
          <w:sz w:val="22"/>
          <w:szCs w:val="22"/>
          <w:lang w:val="en-US" w:eastAsia="en-GB"/>
        </w:rPr>
        <w:t>animetaphor</w:t>
      </w:r>
      <w:r w:rsidR="00FF025A">
        <w:rPr>
          <w:rFonts w:ascii="Garamond" w:eastAsia="Times New Roman" w:hAnsi="Garamond" w:cstheme="minorHAnsi"/>
          <w:color w:val="0D0D0D" w:themeColor="text1" w:themeTint="F2"/>
          <w:sz w:val="22"/>
          <w:szCs w:val="22"/>
          <w:lang w:val="en-US" w:eastAsia="en-GB"/>
        </w:rPr>
        <w:t>” (antimetaphor + animal metaphor). An animetaphor is a stand-in for the understanding</w:t>
      </w:r>
      <w:r w:rsidR="00FF025A" w:rsidRPr="000F4034">
        <w:rPr>
          <w:rFonts w:ascii="Garamond" w:eastAsia="Times New Roman" w:hAnsi="Garamond" w:cstheme="minorHAnsi"/>
          <w:color w:val="0D0D0D" w:themeColor="text1" w:themeTint="F2"/>
          <w:sz w:val="22"/>
          <w:szCs w:val="22"/>
          <w:lang w:val="en-US" w:eastAsia="en-GB"/>
        </w:rPr>
        <w:t xml:space="preserve"> </w:t>
      </w:r>
      <w:r w:rsidR="00FF025A">
        <w:rPr>
          <w:rFonts w:ascii="Garamond" w:eastAsia="Times New Roman" w:hAnsi="Garamond" w:cstheme="minorHAnsi"/>
          <w:color w:val="0D0D0D" w:themeColor="text1" w:themeTint="F2"/>
          <w:sz w:val="22"/>
          <w:szCs w:val="22"/>
          <w:lang w:val="en-US" w:eastAsia="en-GB"/>
        </w:rPr>
        <w:t>that “</w:t>
      </w:r>
      <w:r w:rsidR="00FF025A" w:rsidRPr="000F4034">
        <w:rPr>
          <w:rFonts w:ascii="Garamond" w:eastAsia="Times New Roman" w:hAnsi="Garamond" w:cstheme="minorHAnsi"/>
          <w:color w:val="0D0D0D" w:themeColor="text1" w:themeTint="F2"/>
          <w:sz w:val="22"/>
          <w:szCs w:val="22"/>
          <w:lang w:val="en-US" w:eastAsia="en-GB"/>
        </w:rPr>
        <w:t>the lived being</w:t>
      </w:r>
      <w:r w:rsidR="00FF025A">
        <w:rPr>
          <w:rFonts w:ascii="Garamond" w:eastAsia="Times New Roman" w:hAnsi="Garamond" w:cstheme="minorHAnsi"/>
          <w:color w:val="0D0D0D" w:themeColor="text1" w:themeTint="F2"/>
          <w:sz w:val="22"/>
          <w:szCs w:val="22"/>
          <w:lang w:val="en-US" w:eastAsia="en-GB"/>
        </w:rPr>
        <w:t xml:space="preserve"> [e.g., the starfish, a sea snail]</w:t>
      </w:r>
      <w:r w:rsidR="00FF025A" w:rsidRPr="000F4034">
        <w:rPr>
          <w:rFonts w:ascii="Garamond" w:eastAsia="Times New Roman" w:hAnsi="Garamond" w:cstheme="minorHAnsi"/>
          <w:color w:val="0D0D0D" w:themeColor="text1" w:themeTint="F2"/>
          <w:sz w:val="22"/>
          <w:szCs w:val="22"/>
          <w:lang w:val="en-US" w:eastAsia="en-GB"/>
        </w:rPr>
        <w:t xml:space="preserve"> always already inhabits language, grammar, syntax, and metaphor</w:t>
      </w:r>
      <w:r w:rsidR="00FF025A">
        <w:rPr>
          <w:rFonts w:ascii="Garamond" w:eastAsia="Times New Roman" w:hAnsi="Garamond" w:cstheme="minorHAnsi"/>
          <w:color w:val="0D0D0D" w:themeColor="text1" w:themeTint="F2"/>
          <w:sz w:val="22"/>
          <w:szCs w:val="22"/>
          <w:lang w:val="en-US" w:eastAsia="en-GB"/>
        </w:rPr>
        <w:t xml:space="preserve">” (p. 78). By “inhabiting language” Haywards means that, </w:t>
      </w:r>
      <w:r w:rsidR="00016A2A">
        <w:rPr>
          <w:rFonts w:ascii="Garamond" w:eastAsia="Times New Roman" w:hAnsi="Garamond" w:cstheme="minorHAnsi"/>
          <w:color w:val="0D0D0D" w:themeColor="text1" w:themeTint="F2"/>
          <w:sz w:val="22"/>
          <w:szCs w:val="22"/>
          <w:lang w:val="en-US" w:eastAsia="en-GB"/>
        </w:rPr>
        <w:t>though</w:t>
      </w:r>
      <w:r w:rsidR="00FF025A">
        <w:rPr>
          <w:rFonts w:ascii="Garamond" w:eastAsia="Times New Roman" w:hAnsi="Garamond" w:cstheme="minorHAnsi"/>
          <w:color w:val="0D0D0D" w:themeColor="text1" w:themeTint="F2"/>
          <w:sz w:val="22"/>
          <w:szCs w:val="22"/>
          <w:lang w:val="en-US" w:eastAsia="en-GB"/>
        </w:rPr>
        <w:t xml:space="preserve"> “[a]</w:t>
      </w:r>
      <w:proofErr w:type="spellStart"/>
      <w:r w:rsidR="00FF025A" w:rsidRPr="00C02BC9">
        <w:rPr>
          <w:rFonts w:ascii="Garamond" w:eastAsia="Times New Roman" w:hAnsi="Garamond" w:cstheme="minorHAnsi"/>
          <w:color w:val="0D0D0D" w:themeColor="text1" w:themeTint="F2"/>
          <w:sz w:val="22"/>
          <w:szCs w:val="22"/>
          <w:lang w:val="en-US" w:eastAsia="en-GB"/>
        </w:rPr>
        <w:t>nimals</w:t>
      </w:r>
      <w:proofErr w:type="spellEnd"/>
      <w:r w:rsidR="00FF025A" w:rsidRPr="00C02BC9">
        <w:rPr>
          <w:rFonts w:ascii="Garamond" w:eastAsia="Times New Roman" w:hAnsi="Garamond" w:cstheme="minorHAnsi"/>
          <w:color w:val="0D0D0D" w:themeColor="text1" w:themeTint="F2"/>
          <w:sz w:val="22"/>
          <w:szCs w:val="22"/>
          <w:lang w:val="en-US" w:eastAsia="en-GB"/>
        </w:rPr>
        <w:t xml:space="preserve"> are in and</w:t>
      </w:r>
      <w:r w:rsidR="00FF025A">
        <w:rPr>
          <w:rFonts w:ascii="Garamond" w:eastAsia="Times New Roman" w:hAnsi="Garamond" w:cstheme="minorHAnsi"/>
          <w:color w:val="0D0D0D" w:themeColor="text1" w:themeTint="F2"/>
          <w:sz w:val="22"/>
          <w:szCs w:val="22"/>
          <w:lang w:val="en-US" w:eastAsia="en-GB"/>
        </w:rPr>
        <w:t xml:space="preserve"> </w:t>
      </w:r>
      <w:r w:rsidR="00FF025A" w:rsidRPr="00C02BC9">
        <w:rPr>
          <w:rFonts w:ascii="Garamond" w:eastAsia="Times New Roman" w:hAnsi="Garamond" w:cstheme="minorHAnsi"/>
          <w:color w:val="0D0D0D" w:themeColor="text1" w:themeTint="F2"/>
          <w:sz w:val="22"/>
          <w:szCs w:val="22"/>
          <w:lang w:val="en-US" w:eastAsia="en-GB"/>
        </w:rPr>
        <w:t>of language and representation</w:t>
      </w:r>
      <w:r w:rsidR="00FF025A">
        <w:rPr>
          <w:rFonts w:ascii="Garamond" w:eastAsia="Times New Roman" w:hAnsi="Garamond" w:cstheme="minorHAnsi"/>
          <w:color w:val="0D0D0D" w:themeColor="text1" w:themeTint="F2"/>
          <w:sz w:val="22"/>
          <w:szCs w:val="22"/>
          <w:lang w:val="en-US" w:eastAsia="en-GB"/>
        </w:rPr>
        <w:t xml:space="preserve"> […]</w:t>
      </w:r>
      <w:r w:rsidR="00FF025A" w:rsidRPr="00C02BC9">
        <w:rPr>
          <w:rFonts w:ascii="Garamond" w:eastAsia="Times New Roman" w:hAnsi="Garamond" w:cstheme="minorHAnsi"/>
          <w:color w:val="0D0D0D" w:themeColor="text1" w:themeTint="F2"/>
          <w:sz w:val="22"/>
          <w:szCs w:val="22"/>
          <w:lang w:val="en-US" w:eastAsia="en-GB"/>
        </w:rPr>
        <w:t xml:space="preserve"> their lived bodies are always restoring words to beings</w:t>
      </w:r>
      <w:r w:rsidR="00FF025A">
        <w:rPr>
          <w:rFonts w:ascii="Garamond" w:eastAsia="Times New Roman" w:hAnsi="Garamond" w:cstheme="minorHAnsi"/>
          <w:color w:val="0D0D0D" w:themeColor="text1" w:themeTint="F2"/>
          <w:sz w:val="22"/>
          <w:szCs w:val="22"/>
          <w:lang w:val="en-US" w:eastAsia="en-GB"/>
        </w:rPr>
        <w:t xml:space="preserve">” (p. 79). </w:t>
      </w:r>
      <w:r>
        <w:rPr>
          <w:rFonts w:ascii="Garamond" w:eastAsia="Times New Roman" w:hAnsi="Garamond" w:cstheme="minorHAnsi"/>
          <w:color w:val="0D0D0D" w:themeColor="text1" w:themeTint="F2"/>
          <w:sz w:val="22"/>
          <w:szCs w:val="22"/>
          <w:lang w:val="en-US" w:eastAsia="en-GB"/>
        </w:rPr>
        <w:t xml:space="preserve">Although frequently used as to fill in linguistic </w:t>
      </w:r>
      <w:r w:rsidR="00016A2A">
        <w:rPr>
          <w:rFonts w:ascii="Garamond" w:eastAsia="Times New Roman" w:hAnsi="Garamond" w:cstheme="minorHAnsi"/>
          <w:color w:val="0D0D0D" w:themeColor="text1" w:themeTint="F2"/>
          <w:sz w:val="22"/>
          <w:szCs w:val="22"/>
          <w:lang w:val="en-US" w:eastAsia="en-GB"/>
        </w:rPr>
        <w:t>gaps</w:t>
      </w:r>
      <w:r>
        <w:rPr>
          <w:rFonts w:ascii="Garamond" w:eastAsia="Times New Roman" w:hAnsi="Garamond" w:cstheme="minorHAnsi"/>
          <w:color w:val="0D0D0D" w:themeColor="text1" w:themeTint="F2"/>
          <w:sz w:val="22"/>
          <w:szCs w:val="22"/>
          <w:lang w:val="en-US" w:eastAsia="en-GB"/>
        </w:rPr>
        <w:t xml:space="preserve"> t</w:t>
      </w:r>
      <w:r w:rsidR="00FF025A">
        <w:rPr>
          <w:rFonts w:ascii="Garamond" w:eastAsia="Times New Roman" w:hAnsi="Garamond" w:cstheme="minorHAnsi"/>
          <w:color w:val="0D0D0D" w:themeColor="text1" w:themeTint="F2"/>
          <w:sz w:val="22"/>
          <w:szCs w:val="22"/>
          <w:lang w:val="en-US" w:eastAsia="en-GB"/>
        </w:rPr>
        <w:t xml:space="preserve">rue, embodied, living, eating, procreating animals could not be contained by </w:t>
      </w:r>
      <w:r>
        <w:rPr>
          <w:rFonts w:ascii="Garamond" w:eastAsia="Times New Roman" w:hAnsi="Garamond" w:cstheme="minorHAnsi"/>
          <w:color w:val="0D0D0D" w:themeColor="text1" w:themeTint="F2"/>
          <w:sz w:val="22"/>
          <w:szCs w:val="22"/>
          <w:lang w:val="en-US" w:eastAsia="en-GB"/>
        </w:rPr>
        <w:t>speech</w:t>
      </w:r>
      <w:r w:rsidR="00FF025A">
        <w:rPr>
          <w:rFonts w:ascii="Garamond" w:eastAsia="Times New Roman" w:hAnsi="Garamond" w:cstheme="minorHAnsi"/>
          <w:color w:val="0D0D0D" w:themeColor="text1" w:themeTint="F2"/>
          <w:sz w:val="22"/>
          <w:szCs w:val="22"/>
          <w:lang w:val="en-US" w:eastAsia="en-GB"/>
        </w:rPr>
        <w:t xml:space="preserve"> nor its metaphor, for the significance of the living being, their corporality is too sensorily dense to be readily nor adequately compartmentalized, objectified or rendered a signifier. “A</w:t>
      </w:r>
      <w:r w:rsidR="00FF025A" w:rsidRPr="00651285">
        <w:rPr>
          <w:rFonts w:ascii="Garamond" w:eastAsia="Times New Roman" w:hAnsi="Garamond" w:cstheme="minorHAnsi"/>
          <w:color w:val="0D0D0D" w:themeColor="text1" w:themeTint="F2"/>
          <w:sz w:val="22"/>
          <w:szCs w:val="22"/>
          <w:lang w:val="en-US" w:eastAsia="en-GB"/>
        </w:rPr>
        <w:t xml:space="preserve">nimetaphor </w:t>
      </w:r>
      <w:r w:rsidR="00FF025A">
        <w:rPr>
          <w:rFonts w:ascii="Garamond" w:eastAsia="Times New Roman" w:hAnsi="Garamond" w:cstheme="minorHAnsi"/>
          <w:color w:val="0D0D0D" w:themeColor="text1" w:themeTint="F2"/>
          <w:sz w:val="22"/>
          <w:szCs w:val="22"/>
          <w:lang w:val="en-US" w:eastAsia="en-GB"/>
        </w:rPr>
        <w:t>[applies]</w:t>
      </w:r>
      <w:r w:rsidR="00FF025A" w:rsidRPr="00651285">
        <w:rPr>
          <w:rFonts w:ascii="Garamond" w:eastAsia="Times New Roman" w:hAnsi="Garamond" w:cstheme="minorHAnsi"/>
          <w:color w:val="0D0D0D" w:themeColor="text1" w:themeTint="F2"/>
          <w:sz w:val="22"/>
          <w:szCs w:val="22"/>
          <w:lang w:val="en-US" w:eastAsia="en-GB"/>
        </w:rPr>
        <w:t xml:space="preserve"> a figurative sense</w:t>
      </w:r>
      <w:r w:rsidR="00FF025A">
        <w:rPr>
          <w:rFonts w:ascii="Garamond" w:eastAsia="Times New Roman" w:hAnsi="Garamond" w:cstheme="minorHAnsi"/>
          <w:color w:val="0D0D0D" w:themeColor="text1" w:themeTint="F2"/>
          <w:sz w:val="22"/>
          <w:szCs w:val="22"/>
          <w:lang w:val="en-US" w:eastAsia="en-GB"/>
        </w:rPr>
        <w:t xml:space="preserve"> [</w:t>
      </w:r>
      <w:r>
        <w:rPr>
          <w:rFonts w:ascii="Garamond" w:eastAsia="Times New Roman" w:hAnsi="Garamond" w:cstheme="minorHAnsi"/>
          <w:color w:val="0D0D0D" w:themeColor="text1" w:themeTint="F2"/>
          <w:sz w:val="22"/>
          <w:szCs w:val="22"/>
          <w:lang w:val="en-US" w:eastAsia="en-GB"/>
        </w:rPr>
        <w:t xml:space="preserve">i.e., </w:t>
      </w:r>
      <w:r w:rsidR="00FF025A">
        <w:rPr>
          <w:rFonts w:ascii="Garamond" w:eastAsia="Times New Roman" w:hAnsi="Garamond" w:cstheme="minorHAnsi"/>
          <w:color w:val="0D0D0D" w:themeColor="text1" w:themeTint="F2"/>
          <w:sz w:val="22"/>
          <w:szCs w:val="22"/>
          <w:lang w:val="en-US" w:eastAsia="en-GB"/>
        </w:rPr>
        <w:t xml:space="preserve">“the </w:t>
      </w:r>
      <w:r w:rsidR="00FF025A">
        <w:rPr>
          <w:rFonts w:ascii="Garamond" w:eastAsia="Times New Roman" w:hAnsi="Garamond" w:cstheme="minorHAnsi"/>
          <w:i/>
          <w:iCs/>
          <w:color w:val="0D0D0D" w:themeColor="text1" w:themeTint="F2"/>
          <w:sz w:val="22"/>
          <w:szCs w:val="22"/>
          <w:lang w:val="en-US" w:eastAsia="en-GB"/>
        </w:rPr>
        <w:t xml:space="preserve">meaning </w:t>
      </w:r>
      <w:r w:rsidR="00FF025A">
        <w:rPr>
          <w:rFonts w:ascii="Garamond" w:eastAsia="Times New Roman" w:hAnsi="Garamond" w:cstheme="minorHAnsi"/>
          <w:color w:val="0D0D0D" w:themeColor="text1" w:themeTint="F2"/>
          <w:sz w:val="22"/>
          <w:szCs w:val="22"/>
          <w:lang w:val="en-US" w:eastAsia="en-GB"/>
        </w:rPr>
        <w:t xml:space="preserve">that </w:t>
      </w:r>
      <w:r w:rsidR="00FF025A" w:rsidRPr="00397846">
        <w:rPr>
          <w:rFonts w:ascii="Garamond" w:eastAsia="Times New Roman" w:hAnsi="Garamond" w:cstheme="minorHAnsi"/>
          <w:i/>
          <w:iCs/>
          <w:color w:val="0D0D0D" w:themeColor="text1" w:themeTint="F2"/>
          <w:sz w:val="22"/>
          <w:szCs w:val="22"/>
          <w:lang w:val="en-US" w:eastAsia="en-GB"/>
        </w:rPr>
        <w:t>means</w:t>
      </w:r>
      <w:r w:rsidR="00FF025A">
        <w:rPr>
          <w:rFonts w:ascii="Garamond" w:eastAsia="Times New Roman" w:hAnsi="Garamond" w:cstheme="minorHAnsi"/>
          <w:color w:val="0D0D0D" w:themeColor="text1" w:themeTint="F2"/>
          <w:sz w:val="22"/>
          <w:szCs w:val="22"/>
          <w:lang w:val="en-US" w:eastAsia="en-GB"/>
        </w:rPr>
        <w:t>”]</w:t>
      </w:r>
      <w:r w:rsidR="00FF025A" w:rsidRPr="00651285">
        <w:rPr>
          <w:rFonts w:ascii="Garamond" w:eastAsia="Times New Roman" w:hAnsi="Garamond" w:cstheme="minorHAnsi"/>
          <w:color w:val="0D0D0D" w:themeColor="text1" w:themeTint="F2"/>
          <w:sz w:val="22"/>
          <w:szCs w:val="22"/>
          <w:lang w:val="en-US" w:eastAsia="en-GB"/>
        </w:rPr>
        <w:t xml:space="preserve"> as a literal one</w:t>
      </w:r>
      <w:r w:rsidR="00FF025A">
        <w:rPr>
          <w:rFonts w:ascii="Garamond" w:eastAsia="Times New Roman" w:hAnsi="Garamond" w:cstheme="minorHAnsi"/>
          <w:color w:val="0D0D0D" w:themeColor="text1" w:themeTint="F2"/>
          <w:sz w:val="22"/>
          <w:szCs w:val="22"/>
          <w:lang w:val="en-US" w:eastAsia="en-GB"/>
        </w:rPr>
        <w:t xml:space="preserve"> [</w:t>
      </w:r>
      <w:proofErr w:type="gramStart"/>
      <w:r>
        <w:rPr>
          <w:rFonts w:ascii="Garamond" w:eastAsia="Times New Roman" w:hAnsi="Garamond" w:cstheme="minorHAnsi"/>
          <w:color w:val="0D0D0D" w:themeColor="text1" w:themeTint="F2"/>
          <w:sz w:val="22"/>
          <w:szCs w:val="22"/>
          <w:lang w:val="en-US" w:eastAsia="en-GB"/>
        </w:rPr>
        <w:t>i.e.</w:t>
      </w:r>
      <w:proofErr w:type="gramEnd"/>
      <w:r>
        <w:rPr>
          <w:rFonts w:ascii="Garamond" w:eastAsia="Times New Roman" w:hAnsi="Garamond" w:cstheme="minorHAnsi"/>
          <w:color w:val="0D0D0D" w:themeColor="text1" w:themeTint="F2"/>
          <w:sz w:val="22"/>
          <w:szCs w:val="22"/>
          <w:lang w:val="en-US" w:eastAsia="en-GB"/>
        </w:rPr>
        <w:t xml:space="preserve"> a </w:t>
      </w:r>
      <w:r w:rsidR="00FF025A">
        <w:rPr>
          <w:rFonts w:ascii="Garamond" w:eastAsia="Times New Roman" w:hAnsi="Garamond" w:cstheme="minorHAnsi"/>
          <w:color w:val="0D0D0D" w:themeColor="text1" w:themeTint="F2"/>
          <w:sz w:val="22"/>
          <w:szCs w:val="22"/>
          <w:lang w:val="en-US" w:eastAsia="en-GB"/>
        </w:rPr>
        <w:t>“</w:t>
      </w:r>
      <w:r w:rsidR="00FF025A" w:rsidRPr="00397846">
        <w:rPr>
          <w:rFonts w:ascii="Garamond" w:eastAsia="Times New Roman" w:hAnsi="Garamond" w:cstheme="minorHAnsi"/>
          <w:i/>
          <w:iCs/>
          <w:color w:val="0D0D0D" w:themeColor="text1" w:themeTint="F2"/>
          <w:sz w:val="22"/>
          <w:szCs w:val="22"/>
          <w:lang w:val="en-US" w:eastAsia="en-GB"/>
        </w:rPr>
        <w:t>matter</w:t>
      </w:r>
      <w:r w:rsidR="00FF025A">
        <w:rPr>
          <w:rFonts w:ascii="Garamond" w:eastAsia="Times New Roman" w:hAnsi="Garamond" w:cstheme="minorHAnsi"/>
          <w:color w:val="0D0D0D" w:themeColor="text1" w:themeTint="F2"/>
          <w:sz w:val="22"/>
          <w:szCs w:val="22"/>
          <w:lang w:val="en-US" w:eastAsia="en-GB"/>
        </w:rPr>
        <w:t xml:space="preserve"> that </w:t>
      </w:r>
      <w:r w:rsidR="00FF025A" w:rsidRPr="00397846">
        <w:rPr>
          <w:rFonts w:ascii="Garamond" w:eastAsia="Times New Roman" w:hAnsi="Garamond" w:cstheme="minorHAnsi"/>
          <w:i/>
          <w:iCs/>
          <w:color w:val="0D0D0D" w:themeColor="text1" w:themeTint="F2"/>
          <w:sz w:val="22"/>
          <w:szCs w:val="22"/>
          <w:lang w:val="en-US" w:eastAsia="en-GB"/>
        </w:rPr>
        <w:t>means</w:t>
      </w:r>
      <w:r w:rsidR="00FF025A">
        <w:rPr>
          <w:rFonts w:ascii="Garamond" w:eastAsia="Times New Roman" w:hAnsi="Garamond" w:cstheme="minorHAnsi"/>
          <w:i/>
          <w:iCs/>
          <w:color w:val="0D0D0D" w:themeColor="text1" w:themeTint="F2"/>
          <w:sz w:val="22"/>
          <w:szCs w:val="22"/>
          <w:lang w:val="en-US" w:eastAsia="en-GB"/>
        </w:rPr>
        <w:t>”</w:t>
      </w:r>
      <w:r w:rsidR="00FF025A">
        <w:rPr>
          <w:rFonts w:ascii="Garamond" w:eastAsia="Times New Roman" w:hAnsi="Garamond" w:cstheme="minorHAnsi"/>
          <w:color w:val="0D0D0D" w:themeColor="text1" w:themeTint="F2"/>
          <w:sz w:val="22"/>
          <w:szCs w:val="22"/>
          <w:lang w:val="en-US" w:eastAsia="en-GB"/>
        </w:rPr>
        <w:t>]</w:t>
      </w:r>
      <w:r w:rsidR="00FF025A" w:rsidRPr="00651285">
        <w:rPr>
          <w:rFonts w:ascii="Garamond" w:eastAsia="Times New Roman" w:hAnsi="Garamond" w:cstheme="minorHAnsi"/>
          <w:color w:val="0D0D0D" w:themeColor="text1" w:themeTint="F2"/>
          <w:sz w:val="22"/>
          <w:szCs w:val="22"/>
          <w:lang w:val="en-US" w:eastAsia="en-GB"/>
        </w:rPr>
        <w:t>, while yet retaining the look or feel of figuralit</w:t>
      </w:r>
      <w:r w:rsidR="00FF025A">
        <w:rPr>
          <w:rFonts w:ascii="Garamond" w:eastAsia="Times New Roman" w:hAnsi="Garamond" w:cstheme="minorHAnsi"/>
          <w:color w:val="0D0D0D" w:themeColor="text1" w:themeTint="F2"/>
          <w:sz w:val="22"/>
          <w:szCs w:val="22"/>
          <w:lang w:val="en-US" w:eastAsia="en-GB"/>
        </w:rPr>
        <w:t xml:space="preserve">y” (p. 82). Thus, animetaphor is more closely related to metonymy – where the latter is to be understood as </w:t>
      </w:r>
      <w:r>
        <w:rPr>
          <w:rFonts w:ascii="Garamond" w:eastAsia="Times New Roman" w:hAnsi="Garamond" w:cstheme="minorHAnsi"/>
          <w:color w:val="0D0D0D" w:themeColor="text1" w:themeTint="F2"/>
          <w:sz w:val="22"/>
          <w:szCs w:val="22"/>
          <w:lang w:val="en-US" w:eastAsia="en-GB"/>
        </w:rPr>
        <w:t xml:space="preserve">the name for </w:t>
      </w:r>
      <w:r w:rsidR="00FF025A">
        <w:rPr>
          <w:rFonts w:ascii="Garamond" w:eastAsia="Times New Roman" w:hAnsi="Garamond" w:cstheme="minorHAnsi"/>
          <w:color w:val="0D0D0D" w:themeColor="text1" w:themeTint="F2"/>
          <w:sz w:val="22"/>
          <w:szCs w:val="22"/>
          <w:lang w:val="en-US" w:eastAsia="en-GB"/>
        </w:rPr>
        <w:t>this which “</w:t>
      </w:r>
      <w:r w:rsidR="00FF025A" w:rsidRPr="00397846">
        <w:rPr>
          <w:rFonts w:ascii="Garamond" w:eastAsia="Times New Roman" w:hAnsi="Garamond" w:cstheme="minorHAnsi"/>
          <w:color w:val="0D0D0D" w:themeColor="text1" w:themeTint="F2"/>
          <w:sz w:val="22"/>
          <w:szCs w:val="22"/>
          <w:lang w:val="en-US" w:eastAsia="en-GB"/>
        </w:rPr>
        <w:t>brings together two objects, each of which constitutes a separate whole</w:t>
      </w:r>
      <w:r w:rsidR="00FF025A">
        <w:rPr>
          <w:rFonts w:ascii="Garamond" w:eastAsia="Times New Roman" w:hAnsi="Garamond" w:cstheme="minorHAnsi"/>
          <w:color w:val="0D0D0D" w:themeColor="text1" w:themeTint="F2"/>
          <w:sz w:val="22"/>
          <w:szCs w:val="22"/>
          <w:lang w:val="en-US" w:eastAsia="en-GB"/>
        </w:rPr>
        <w:t>” (p. 75)</w:t>
      </w:r>
      <w:r w:rsidR="00016A2A">
        <w:rPr>
          <w:rFonts w:ascii="Garamond" w:eastAsia="Times New Roman" w:hAnsi="Garamond" w:cstheme="minorHAnsi"/>
          <w:color w:val="0D0D0D" w:themeColor="text1" w:themeTint="F2"/>
          <w:sz w:val="22"/>
          <w:szCs w:val="22"/>
          <w:lang w:val="en-US" w:eastAsia="en-GB"/>
        </w:rPr>
        <w:t xml:space="preserve"> - s</w:t>
      </w:r>
      <w:r w:rsidR="00FF025A">
        <w:rPr>
          <w:rFonts w:ascii="Garamond" w:eastAsia="Times New Roman" w:hAnsi="Garamond" w:cstheme="minorHAnsi"/>
          <w:color w:val="0D0D0D" w:themeColor="text1" w:themeTint="F2"/>
          <w:sz w:val="22"/>
          <w:szCs w:val="22"/>
          <w:lang w:val="en-US" w:eastAsia="en-GB"/>
        </w:rPr>
        <w:t>o does an animetaphor bring together the fleshiness of the organism, alongside its sense meaning</w:t>
      </w:r>
      <w:r w:rsidR="00016A2A">
        <w:rPr>
          <w:rFonts w:ascii="Garamond" w:eastAsia="Times New Roman" w:hAnsi="Garamond" w:cstheme="minorHAnsi"/>
          <w:color w:val="0D0D0D" w:themeColor="text1" w:themeTint="F2"/>
          <w:sz w:val="22"/>
          <w:szCs w:val="22"/>
          <w:lang w:val="en-US" w:eastAsia="en-GB"/>
        </w:rPr>
        <w:t>.</w:t>
      </w:r>
      <w:r w:rsidR="00FF025A">
        <w:rPr>
          <w:rFonts w:ascii="Garamond" w:eastAsia="Times New Roman" w:hAnsi="Garamond" w:cstheme="minorHAnsi"/>
          <w:color w:val="0D0D0D" w:themeColor="text1" w:themeTint="F2"/>
          <w:sz w:val="22"/>
          <w:szCs w:val="22"/>
          <w:lang w:val="en-US" w:eastAsia="en-GB"/>
        </w:rPr>
        <w:t xml:space="preserve"> Put </w:t>
      </w:r>
      <w:r>
        <w:rPr>
          <w:rFonts w:ascii="Garamond" w:eastAsia="Times New Roman" w:hAnsi="Garamond" w:cstheme="minorHAnsi"/>
          <w:color w:val="0D0D0D" w:themeColor="text1" w:themeTint="F2"/>
          <w:sz w:val="22"/>
          <w:szCs w:val="22"/>
          <w:lang w:val="en-US" w:eastAsia="en-GB"/>
        </w:rPr>
        <w:t xml:space="preserve">more </w:t>
      </w:r>
      <w:r w:rsidR="00FF025A">
        <w:rPr>
          <w:rFonts w:ascii="Garamond" w:eastAsia="Times New Roman" w:hAnsi="Garamond" w:cstheme="minorHAnsi"/>
          <w:color w:val="0D0D0D" w:themeColor="text1" w:themeTint="F2"/>
          <w:sz w:val="22"/>
          <w:szCs w:val="22"/>
          <w:lang w:val="en-US" w:eastAsia="en-GB"/>
        </w:rPr>
        <w:t xml:space="preserve">simply, for Hayward “The Cripple and the Starfish” “foregrounds the </w:t>
      </w:r>
      <w:r w:rsidR="00FF025A" w:rsidRPr="00043C4A">
        <w:rPr>
          <w:rFonts w:ascii="Garamond" w:eastAsia="Times New Roman" w:hAnsi="Garamond" w:cstheme="minorHAnsi"/>
          <w:color w:val="0D0D0D" w:themeColor="text1" w:themeTint="F2"/>
          <w:sz w:val="22"/>
          <w:szCs w:val="22"/>
          <w:lang w:val="en-US" w:eastAsia="en-GB"/>
        </w:rPr>
        <w:t xml:space="preserve">intracorporeally of </w:t>
      </w:r>
      <w:r w:rsidR="00FF025A" w:rsidRPr="00043C4A">
        <w:rPr>
          <w:rFonts w:ascii="Garamond" w:eastAsia="Times New Roman" w:hAnsi="Garamond" w:cstheme="minorHAnsi"/>
          <w:i/>
          <w:iCs/>
          <w:color w:val="0D0D0D" w:themeColor="text1" w:themeTint="F2"/>
          <w:sz w:val="22"/>
          <w:szCs w:val="22"/>
          <w:lang w:val="en-US" w:eastAsia="en-GB"/>
        </w:rPr>
        <w:t>sensible matter</w:t>
      </w:r>
      <w:r w:rsidR="00FF025A" w:rsidRPr="00043C4A">
        <w:rPr>
          <w:rFonts w:ascii="Garamond" w:eastAsia="Times New Roman" w:hAnsi="Garamond" w:cstheme="minorHAnsi"/>
          <w:color w:val="0D0D0D" w:themeColor="text1" w:themeTint="F2"/>
          <w:sz w:val="22"/>
          <w:szCs w:val="22"/>
          <w:lang w:val="en-US" w:eastAsia="en-GB"/>
        </w:rPr>
        <w:t xml:space="preserve"> and</w:t>
      </w:r>
      <w:r w:rsidR="00FF025A">
        <w:rPr>
          <w:rFonts w:ascii="Garamond" w:eastAsia="Times New Roman" w:hAnsi="Garamond" w:cstheme="minorHAnsi"/>
          <w:color w:val="0D0D0D" w:themeColor="text1" w:themeTint="F2"/>
          <w:sz w:val="22"/>
          <w:szCs w:val="22"/>
          <w:lang w:val="en-US" w:eastAsia="en-GB"/>
        </w:rPr>
        <w:t xml:space="preserve"> </w:t>
      </w:r>
      <w:r w:rsidR="00FF025A" w:rsidRPr="00043C4A">
        <w:rPr>
          <w:rFonts w:ascii="Garamond" w:eastAsia="Times New Roman" w:hAnsi="Garamond" w:cstheme="minorHAnsi"/>
          <w:i/>
          <w:iCs/>
          <w:color w:val="0D0D0D" w:themeColor="text1" w:themeTint="F2"/>
          <w:sz w:val="22"/>
          <w:szCs w:val="22"/>
          <w:lang w:val="en-US" w:eastAsia="en-GB"/>
        </w:rPr>
        <w:t>sensual meaning</w:t>
      </w:r>
      <w:r w:rsidR="00FF025A" w:rsidRPr="00043C4A">
        <w:rPr>
          <w:rFonts w:ascii="Garamond" w:eastAsia="Times New Roman" w:hAnsi="Garamond" w:cstheme="minorHAnsi"/>
          <w:color w:val="0D0D0D" w:themeColor="text1" w:themeTint="F2"/>
          <w:sz w:val="22"/>
          <w:szCs w:val="22"/>
          <w:lang w:val="en-US" w:eastAsia="en-GB"/>
        </w:rPr>
        <w:t>” (p. 82)</w:t>
      </w:r>
      <w:r w:rsidR="00FF025A">
        <w:rPr>
          <w:rFonts w:ascii="Garamond" w:eastAsia="Times New Roman" w:hAnsi="Garamond" w:cstheme="minorHAnsi"/>
          <w:color w:val="0D0D0D" w:themeColor="text1" w:themeTint="F2"/>
          <w:sz w:val="22"/>
          <w:szCs w:val="22"/>
          <w:lang w:val="en-US" w:eastAsia="en-GB"/>
        </w:rPr>
        <w:t xml:space="preserve"> as to reveal the possibility to attend to the song trough both f</w:t>
      </w:r>
      <w:r w:rsidR="00FF025A" w:rsidRPr="00397846">
        <w:rPr>
          <w:rFonts w:ascii="Garamond" w:eastAsia="Times New Roman" w:hAnsi="Garamond" w:cstheme="minorHAnsi"/>
          <w:color w:val="0D0D0D" w:themeColor="text1" w:themeTint="F2"/>
          <w:sz w:val="22"/>
          <w:szCs w:val="22"/>
          <w:lang w:val="en-US" w:eastAsia="en-GB"/>
        </w:rPr>
        <w:t>igural and literal</w:t>
      </w:r>
      <w:r w:rsidR="00FF025A">
        <w:rPr>
          <w:rFonts w:ascii="Garamond" w:eastAsia="Times New Roman" w:hAnsi="Garamond" w:cstheme="minorHAnsi"/>
          <w:color w:val="0D0D0D" w:themeColor="text1" w:themeTint="F2"/>
          <w:sz w:val="22"/>
          <w:szCs w:val="22"/>
          <w:lang w:val="en-US" w:eastAsia="en-GB"/>
        </w:rPr>
        <w:t xml:space="preserve"> apprehension. </w:t>
      </w:r>
    </w:p>
    <w:p w14:paraId="62CDA688" w14:textId="77777777" w:rsidR="00FF025A" w:rsidRDefault="00FF025A" w:rsidP="00FF025A">
      <w:pPr>
        <w:rPr>
          <w:rFonts w:ascii="Garamond" w:eastAsia="Times New Roman" w:hAnsi="Garamond" w:cstheme="minorHAnsi"/>
          <w:color w:val="0D0D0D" w:themeColor="text1" w:themeTint="F2"/>
          <w:sz w:val="22"/>
          <w:szCs w:val="22"/>
          <w:lang w:val="en-US" w:eastAsia="en-GB"/>
        </w:rPr>
      </w:pPr>
    </w:p>
    <w:p w14:paraId="272CF8A2" w14:textId="7713ECD5" w:rsidR="00FF025A" w:rsidRDefault="00FF025A" w:rsidP="00FF025A">
      <w:pPr>
        <w:rPr>
          <w:rFonts w:ascii="Garamond" w:eastAsia="Times New Roman" w:hAnsi="Garamond" w:cstheme="minorHAnsi"/>
          <w:color w:val="0D0D0D" w:themeColor="text1" w:themeTint="F2"/>
          <w:sz w:val="22"/>
          <w:szCs w:val="22"/>
          <w:lang w:val="en-US" w:eastAsia="en-GB"/>
        </w:rPr>
      </w:pPr>
      <w:r w:rsidRPr="00BF1B20">
        <w:rPr>
          <w:rFonts w:ascii="Garamond" w:eastAsia="Times New Roman" w:hAnsi="Garamond" w:cstheme="minorHAnsi"/>
          <w:color w:val="0D0D0D" w:themeColor="text1" w:themeTint="F2"/>
          <w:sz w:val="22"/>
          <w:szCs w:val="22"/>
          <w:lang w:val="en-US" w:eastAsia="en-GB"/>
        </w:rPr>
        <w:t>Trans-speciation</w:t>
      </w:r>
      <w:r w:rsidRPr="009D4DC5">
        <w:rPr>
          <w:rFonts w:ascii="Garamond" w:eastAsia="Times New Roman" w:hAnsi="Garamond" w:cstheme="minorHAnsi"/>
          <w:i/>
          <w:iCs/>
          <w:color w:val="0D0D0D" w:themeColor="text1" w:themeTint="F2"/>
          <w:sz w:val="22"/>
          <w:szCs w:val="22"/>
          <w:lang w:val="en-US" w:eastAsia="en-GB"/>
        </w:rPr>
        <w:t xml:space="preserve"> </w:t>
      </w:r>
      <w:r w:rsidR="00F877C1">
        <w:rPr>
          <w:rFonts w:ascii="Garamond" w:eastAsia="Times New Roman" w:hAnsi="Garamond" w:cstheme="minorHAnsi"/>
          <w:color w:val="0D0D0D" w:themeColor="text1" w:themeTint="F2"/>
          <w:sz w:val="22"/>
          <w:szCs w:val="22"/>
          <w:lang w:val="en-US" w:eastAsia="en-GB"/>
        </w:rPr>
        <w:t>is</w:t>
      </w:r>
      <w:r w:rsidR="00B10C22">
        <w:rPr>
          <w:rFonts w:ascii="Garamond" w:eastAsia="Times New Roman" w:hAnsi="Garamond" w:cstheme="minorHAnsi"/>
          <w:color w:val="0D0D0D" w:themeColor="text1" w:themeTint="F2"/>
          <w:sz w:val="22"/>
          <w:szCs w:val="22"/>
          <w:lang w:val="en-US" w:eastAsia="en-GB"/>
        </w:rPr>
        <w:t xml:space="preserve"> what</w:t>
      </w:r>
      <w:r w:rsidR="00F877C1">
        <w:rPr>
          <w:rFonts w:ascii="Garamond" w:eastAsia="Times New Roman" w:hAnsi="Garamond" w:cstheme="minorHAnsi"/>
          <w:color w:val="0D0D0D" w:themeColor="text1" w:themeTint="F2"/>
          <w:sz w:val="22"/>
          <w:szCs w:val="22"/>
          <w:lang w:val="en-US" w:eastAsia="en-GB"/>
        </w:rPr>
        <w:t xml:space="preserve"> </w:t>
      </w:r>
      <w:r w:rsidR="00B10C22">
        <w:rPr>
          <w:rFonts w:ascii="Garamond" w:eastAsia="Times New Roman" w:hAnsi="Garamond" w:cstheme="minorHAnsi"/>
          <w:color w:val="0D0D0D" w:themeColor="text1" w:themeTint="F2"/>
          <w:sz w:val="22"/>
          <w:szCs w:val="22"/>
          <w:lang w:val="en-US" w:eastAsia="en-GB"/>
        </w:rPr>
        <w:t>becomes possible</w:t>
      </w:r>
      <w:r w:rsidR="00F877C1">
        <w:rPr>
          <w:rFonts w:ascii="Garamond" w:eastAsia="Times New Roman" w:hAnsi="Garamond" w:cstheme="minorHAnsi"/>
          <w:color w:val="0D0D0D" w:themeColor="text1" w:themeTint="F2"/>
          <w:sz w:val="22"/>
          <w:szCs w:val="22"/>
          <w:lang w:val="en-US" w:eastAsia="en-GB"/>
        </w:rPr>
        <w:t xml:space="preserve"> </w:t>
      </w:r>
      <w:r w:rsidR="00570775">
        <w:rPr>
          <w:rFonts w:ascii="Garamond" w:eastAsia="Times New Roman" w:hAnsi="Garamond" w:cstheme="minorHAnsi"/>
          <w:color w:val="0D0D0D" w:themeColor="text1" w:themeTint="F2"/>
          <w:sz w:val="22"/>
          <w:szCs w:val="22"/>
          <w:lang w:val="en-US" w:eastAsia="en-GB"/>
        </w:rPr>
        <w:t>through</w:t>
      </w:r>
      <w:r w:rsidR="00F877C1">
        <w:rPr>
          <w:rFonts w:ascii="Garamond" w:eastAsia="Times New Roman" w:hAnsi="Garamond" w:cstheme="minorHAnsi"/>
          <w:color w:val="0D0D0D" w:themeColor="text1" w:themeTint="F2"/>
          <w:sz w:val="22"/>
          <w:szCs w:val="22"/>
          <w:lang w:val="en-US" w:eastAsia="en-GB"/>
        </w:rPr>
        <w:t xml:space="preserve"> </w:t>
      </w:r>
      <w:r w:rsidR="006E0467">
        <w:rPr>
          <w:rFonts w:ascii="Garamond" w:eastAsia="Times New Roman" w:hAnsi="Garamond" w:cstheme="minorHAnsi"/>
          <w:color w:val="0D0D0D" w:themeColor="text1" w:themeTint="F2"/>
          <w:sz w:val="22"/>
          <w:szCs w:val="22"/>
          <w:lang w:val="en-US" w:eastAsia="en-GB"/>
        </w:rPr>
        <w:t>the</w:t>
      </w:r>
      <w:r w:rsidR="00570775">
        <w:rPr>
          <w:rFonts w:ascii="Garamond" w:eastAsia="Times New Roman" w:hAnsi="Garamond" w:cstheme="minorHAnsi"/>
          <w:color w:val="0D0D0D" w:themeColor="text1" w:themeTint="F2"/>
          <w:sz w:val="22"/>
          <w:szCs w:val="22"/>
          <w:lang w:val="en-US" w:eastAsia="en-GB"/>
        </w:rPr>
        <w:t xml:space="preserve"> realization of this</w:t>
      </w:r>
      <w:r w:rsidR="00F877C1">
        <w:rPr>
          <w:rFonts w:ascii="Garamond" w:eastAsia="Times New Roman" w:hAnsi="Garamond" w:cstheme="minorHAnsi"/>
          <w:color w:val="0D0D0D" w:themeColor="text1" w:themeTint="F2"/>
          <w:sz w:val="22"/>
          <w:szCs w:val="22"/>
          <w:lang w:val="en-US" w:eastAsia="en-GB"/>
        </w:rPr>
        <w:t xml:space="preserve"> two-fold apprehension</w:t>
      </w:r>
      <w:r w:rsidR="00B10C22">
        <w:rPr>
          <w:rFonts w:ascii="Garamond" w:eastAsia="Times New Roman" w:hAnsi="Garamond" w:cstheme="minorHAnsi"/>
          <w:color w:val="0D0D0D" w:themeColor="text1" w:themeTint="F2"/>
          <w:sz w:val="22"/>
          <w:szCs w:val="22"/>
          <w:lang w:val="en-US" w:eastAsia="en-GB"/>
        </w:rPr>
        <w:t xml:space="preserve">. </w:t>
      </w:r>
      <w:r w:rsidR="00B10C22" w:rsidRPr="00B10C22">
        <w:rPr>
          <w:rFonts w:ascii="Garamond" w:eastAsia="Times New Roman" w:hAnsi="Garamond" w:cstheme="minorHAnsi"/>
          <w:i/>
          <w:iCs/>
          <w:color w:val="0D0D0D" w:themeColor="text1" w:themeTint="F2"/>
          <w:sz w:val="22"/>
          <w:szCs w:val="22"/>
          <w:lang w:val="en-US" w:eastAsia="en-GB"/>
        </w:rPr>
        <w:t>Trans</w:t>
      </w:r>
      <w:r w:rsidR="00B10C22">
        <w:rPr>
          <w:rFonts w:ascii="Garamond" w:eastAsia="Times New Roman" w:hAnsi="Garamond" w:cstheme="minorHAnsi"/>
          <w:color w:val="0D0D0D" w:themeColor="text1" w:themeTint="F2"/>
          <w:sz w:val="22"/>
          <w:szCs w:val="22"/>
          <w:lang w:val="en-US" w:eastAsia="en-GB"/>
        </w:rPr>
        <w:t xml:space="preserve"> here stands for the “elsewhere”</w:t>
      </w:r>
      <w:r w:rsidR="00F240D8">
        <w:rPr>
          <w:rFonts w:ascii="Garamond" w:eastAsia="Times New Roman" w:hAnsi="Garamond" w:cstheme="minorHAnsi"/>
          <w:color w:val="0D0D0D" w:themeColor="text1" w:themeTint="F2"/>
          <w:sz w:val="22"/>
          <w:szCs w:val="22"/>
          <w:lang w:val="en-US" w:eastAsia="en-GB"/>
        </w:rPr>
        <w:t xml:space="preserve"> or potentially for the “trans-formation” inherent to the “trans”-sexual/gender as prefixal entities. Thus, Hayward looks at the literal starfish and the symbolic “starfish” as to understand what it means to </w:t>
      </w:r>
      <w:r w:rsidR="00BF1B20">
        <w:rPr>
          <w:rFonts w:ascii="Garamond" w:eastAsia="Times New Roman" w:hAnsi="Garamond" w:cstheme="minorHAnsi"/>
          <w:color w:val="0D0D0D" w:themeColor="text1" w:themeTint="F2"/>
          <w:sz w:val="22"/>
          <w:szCs w:val="22"/>
          <w:lang w:val="en-US" w:eastAsia="en-GB"/>
        </w:rPr>
        <w:t xml:space="preserve">joyfully </w:t>
      </w:r>
      <w:r w:rsidR="00F240D8">
        <w:rPr>
          <w:rFonts w:ascii="Garamond" w:eastAsia="Times New Roman" w:hAnsi="Garamond" w:cstheme="minorHAnsi"/>
          <w:color w:val="0D0D0D" w:themeColor="text1" w:themeTint="F2"/>
          <w:sz w:val="22"/>
          <w:szCs w:val="22"/>
          <w:lang w:val="en-US" w:eastAsia="en-GB"/>
        </w:rPr>
        <w:t xml:space="preserve">“cut off </w:t>
      </w:r>
      <w:r w:rsidR="00BF1B20">
        <w:rPr>
          <w:rFonts w:ascii="Garamond" w:eastAsia="Times New Roman" w:hAnsi="Garamond" w:cstheme="minorHAnsi"/>
          <w:color w:val="0D0D0D" w:themeColor="text1" w:themeTint="F2"/>
          <w:sz w:val="22"/>
          <w:szCs w:val="22"/>
          <w:lang w:val="en-US" w:eastAsia="en-GB"/>
        </w:rPr>
        <w:t>[one’s own]</w:t>
      </w:r>
      <w:r w:rsidR="00F240D8">
        <w:rPr>
          <w:rFonts w:ascii="Garamond" w:eastAsia="Times New Roman" w:hAnsi="Garamond" w:cstheme="minorHAnsi"/>
          <w:color w:val="0D0D0D" w:themeColor="text1" w:themeTint="F2"/>
          <w:sz w:val="22"/>
          <w:szCs w:val="22"/>
          <w:lang w:val="en-US" w:eastAsia="en-GB"/>
        </w:rPr>
        <w:t xml:space="preserve"> finger”</w:t>
      </w:r>
      <w:r w:rsidR="006E0467">
        <w:rPr>
          <w:rFonts w:ascii="Garamond" w:eastAsia="Times New Roman" w:hAnsi="Garamond" w:cstheme="minorHAnsi"/>
          <w:color w:val="0D0D0D" w:themeColor="text1" w:themeTint="F2"/>
          <w:sz w:val="22"/>
          <w:szCs w:val="22"/>
          <w:lang w:val="en-US" w:eastAsia="en-GB"/>
        </w:rPr>
        <w:t xml:space="preserve"> (perhaps a penis</w:t>
      </w:r>
      <w:r w:rsidR="00570775">
        <w:rPr>
          <w:rFonts w:ascii="Garamond" w:eastAsia="Times New Roman" w:hAnsi="Garamond" w:cstheme="minorHAnsi"/>
          <w:color w:val="0D0D0D" w:themeColor="text1" w:themeTint="F2"/>
          <w:sz w:val="22"/>
          <w:szCs w:val="22"/>
          <w:lang w:val="en-US" w:eastAsia="en-GB"/>
        </w:rPr>
        <w:t>?</w:t>
      </w:r>
      <w:r w:rsidR="006E0467">
        <w:rPr>
          <w:rFonts w:ascii="Garamond" w:eastAsia="Times New Roman" w:hAnsi="Garamond" w:cstheme="minorHAnsi"/>
          <w:color w:val="0D0D0D" w:themeColor="text1" w:themeTint="F2"/>
          <w:sz w:val="22"/>
          <w:szCs w:val="22"/>
          <w:lang w:val="en-US" w:eastAsia="en-GB"/>
        </w:rPr>
        <w:t xml:space="preserve">) so “it grows back </w:t>
      </w:r>
      <w:r w:rsidR="00016A2A">
        <w:rPr>
          <w:rFonts w:ascii="Garamond" w:eastAsia="Times New Roman" w:hAnsi="Garamond" w:cstheme="minorHAnsi"/>
          <w:color w:val="0D0D0D" w:themeColor="text1" w:themeTint="F2"/>
          <w:sz w:val="22"/>
          <w:szCs w:val="22"/>
          <w:lang w:val="en-US" w:eastAsia="en-GB"/>
        </w:rPr>
        <w:t>like</w:t>
      </w:r>
      <w:r w:rsidR="006E0467">
        <w:rPr>
          <w:rFonts w:ascii="Garamond" w:eastAsia="Times New Roman" w:hAnsi="Garamond" w:cstheme="minorHAnsi"/>
          <w:color w:val="0D0D0D" w:themeColor="text1" w:themeTint="F2"/>
          <w:sz w:val="22"/>
          <w:szCs w:val="22"/>
          <w:lang w:val="en-US" w:eastAsia="en-GB"/>
        </w:rPr>
        <w:t xml:space="preserve"> a starfish”. </w:t>
      </w:r>
      <w:r w:rsidR="00570775">
        <w:rPr>
          <w:rFonts w:ascii="Garamond" w:eastAsia="Times New Roman" w:hAnsi="Garamond" w:cstheme="minorHAnsi"/>
          <w:color w:val="0D0D0D" w:themeColor="text1" w:themeTint="F2"/>
          <w:sz w:val="22"/>
          <w:szCs w:val="22"/>
          <w:lang w:val="en-US" w:eastAsia="en-GB"/>
        </w:rPr>
        <w:t>Here,</w:t>
      </w:r>
      <w:r w:rsidR="006E0467">
        <w:rPr>
          <w:rFonts w:ascii="Garamond" w:eastAsia="Times New Roman" w:hAnsi="Garamond" w:cstheme="minorHAnsi"/>
          <w:color w:val="0D0D0D" w:themeColor="text1" w:themeTint="F2"/>
          <w:sz w:val="22"/>
          <w:szCs w:val="22"/>
          <w:lang w:val="en-US" w:eastAsia="en-GB"/>
        </w:rPr>
        <w:t xml:space="preserve"> </w:t>
      </w:r>
      <w:r w:rsidR="00570775">
        <w:rPr>
          <w:rFonts w:ascii="Garamond" w:eastAsia="Times New Roman" w:hAnsi="Garamond" w:cstheme="minorHAnsi"/>
          <w:color w:val="0D0D0D" w:themeColor="text1" w:themeTint="F2"/>
          <w:sz w:val="22"/>
          <w:szCs w:val="22"/>
          <w:lang w:val="en-US" w:eastAsia="en-GB"/>
        </w:rPr>
        <w:t>the</w:t>
      </w:r>
      <w:r w:rsidR="006E0467">
        <w:rPr>
          <w:rFonts w:ascii="Garamond" w:eastAsia="Times New Roman" w:hAnsi="Garamond" w:cstheme="minorHAnsi"/>
          <w:color w:val="0D0D0D" w:themeColor="text1" w:themeTint="F2"/>
          <w:sz w:val="22"/>
          <w:szCs w:val="22"/>
          <w:lang w:val="en-US" w:eastAsia="en-GB"/>
        </w:rPr>
        <w:t xml:space="preserve"> e</w:t>
      </w:r>
      <w:r w:rsidR="006E0467" w:rsidRPr="006E0467">
        <w:rPr>
          <w:rFonts w:ascii="Garamond" w:eastAsia="Times New Roman" w:hAnsi="Garamond" w:cstheme="minorHAnsi"/>
          <w:color w:val="0D0D0D" w:themeColor="text1" w:themeTint="F2"/>
          <w:sz w:val="22"/>
          <w:szCs w:val="22"/>
          <w:lang w:val="en-US" w:eastAsia="en-GB"/>
        </w:rPr>
        <w:t>chinoderm</w:t>
      </w:r>
      <w:r w:rsidR="006E0467">
        <w:rPr>
          <w:rFonts w:ascii="Garamond" w:eastAsia="Times New Roman" w:hAnsi="Garamond" w:cstheme="minorHAnsi"/>
          <w:color w:val="0D0D0D" w:themeColor="text1" w:themeTint="F2"/>
          <w:sz w:val="22"/>
          <w:szCs w:val="22"/>
          <w:lang w:val="en-US" w:eastAsia="en-GB"/>
        </w:rPr>
        <w:t xml:space="preserve"> </w:t>
      </w:r>
      <w:r w:rsidR="00016A2A">
        <w:rPr>
          <w:rFonts w:ascii="Garamond" w:eastAsia="Times New Roman" w:hAnsi="Garamond" w:cstheme="minorHAnsi"/>
          <w:color w:val="0D0D0D" w:themeColor="text1" w:themeTint="F2"/>
          <w:sz w:val="22"/>
          <w:szCs w:val="22"/>
          <w:lang w:val="en-US" w:eastAsia="en-GB"/>
        </w:rPr>
        <w:t xml:space="preserve">that </w:t>
      </w:r>
      <w:r w:rsidR="006E0467">
        <w:rPr>
          <w:rFonts w:ascii="Garamond" w:eastAsia="Times New Roman" w:hAnsi="Garamond" w:cstheme="minorHAnsi"/>
          <w:color w:val="0D0D0D" w:themeColor="text1" w:themeTint="F2"/>
          <w:sz w:val="22"/>
          <w:szCs w:val="22"/>
          <w:lang w:val="en-US" w:eastAsia="en-GB"/>
        </w:rPr>
        <w:t xml:space="preserve">the author of the song speaks of becomes visible as a linguistic symbol of </w:t>
      </w:r>
      <w:r w:rsidR="00570775">
        <w:rPr>
          <w:rFonts w:ascii="Garamond" w:eastAsia="Times New Roman" w:hAnsi="Garamond" w:cstheme="minorHAnsi"/>
          <w:color w:val="0D0D0D" w:themeColor="text1" w:themeTint="F2"/>
          <w:sz w:val="22"/>
          <w:szCs w:val="22"/>
          <w:lang w:val="en-US" w:eastAsia="en-GB"/>
        </w:rPr>
        <w:t xml:space="preserve">the potential for ultimate </w:t>
      </w:r>
      <w:r w:rsidR="006E0467">
        <w:rPr>
          <w:rFonts w:ascii="Garamond" w:eastAsia="Times New Roman" w:hAnsi="Garamond" w:cstheme="minorHAnsi"/>
          <w:color w:val="0D0D0D" w:themeColor="text1" w:themeTint="F2"/>
          <w:sz w:val="22"/>
          <w:szCs w:val="22"/>
          <w:lang w:val="en-US" w:eastAsia="en-GB"/>
        </w:rPr>
        <w:t>regeneration</w:t>
      </w:r>
      <w:r w:rsidR="00570775">
        <w:rPr>
          <w:rFonts w:ascii="Garamond" w:eastAsia="Times New Roman" w:hAnsi="Garamond" w:cstheme="minorHAnsi"/>
          <w:color w:val="0D0D0D" w:themeColor="text1" w:themeTint="F2"/>
          <w:sz w:val="22"/>
          <w:szCs w:val="22"/>
          <w:lang w:val="en-US" w:eastAsia="en-GB"/>
        </w:rPr>
        <w:t xml:space="preserve"> of</w:t>
      </w:r>
      <w:r w:rsidR="006E0467">
        <w:rPr>
          <w:rFonts w:ascii="Garamond" w:eastAsia="Times New Roman" w:hAnsi="Garamond" w:cstheme="minorHAnsi"/>
          <w:color w:val="0D0D0D" w:themeColor="text1" w:themeTint="F2"/>
          <w:sz w:val="22"/>
          <w:szCs w:val="22"/>
          <w:lang w:val="en-US" w:eastAsia="en-GB"/>
        </w:rPr>
        <w:t xml:space="preserve"> the </w:t>
      </w:r>
      <w:r w:rsidR="00570775">
        <w:rPr>
          <w:rFonts w:ascii="Garamond" w:eastAsia="Times New Roman" w:hAnsi="Garamond" w:cstheme="minorHAnsi"/>
          <w:color w:val="0D0D0D" w:themeColor="text1" w:themeTint="F2"/>
          <w:sz w:val="22"/>
          <w:szCs w:val="22"/>
          <w:lang w:val="en-US" w:eastAsia="en-GB"/>
        </w:rPr>
        <w:t>self</w:t>
      </w:r>
      <w:r w:rsidR="006E0467">
        <w:rPr>
          <w:rFonts w:ascii="Garamond" w:eastAsia="Times New Roman" w:hAnsi="Garamond" w:cstheme="minorHAnsi"/>
          <w:color w:val="0D0D0D" w:themeColor="text1" w:themeTint="F2"/>
          <w:sz w:val="22"/>
          <w:szCs w:val="22"/>
          <w:lang w:val="en-US" w:eastAsia="en-GB"/>
        </w:rPr>
        <w:t xml:space="preserve"> </w:t>
      </w:r>
      <w:r w:rsidR="00570775">
        <w:rPr>
          <w:rFonts w:ascii="Garamond" w:eastAsia="Times New Roman" w:hAnsi="Garamond" w:cstheme="minorHAnsi"/>
          <w:color w:val="0D0D0D" w:themeColor="text1" w:themeTint="F2"/>
          <w:sz w:val="22"/>
          <w:szCs w:val="22"/>
          <w:lang w:val="en-US" w:eastAsia="en-GB"/>
        </w:rPr>
        <w:t>(</w:t>
      </w:r>
      <w:r w:rsidR="006E0467">
        <w:rPr>
          <w:rFonts w:ascii="Garamond" w:eastAsia="Times New Roman" w:hAnsi="Garamond" w:cstheme="minorHAnsi"/>
          <w:color w:val="0D0D0D" w:themeColor="text1" w:themeTint="F2"/>
          <w:sz w:val="22"/>
          <w:szCs w:val="22"/>
          <w:lang w:val="en-US" w:eastAsia="en-GB"/>
        </w:rPr>
        <w:t>“</w:t>
      </w:r>
      <w:r w:rsidR="006E0467" w:rsidRPr="00570775">
        <w:rPr>
          <w:rFonts w:ascii="Garamond" w:eastAsia="Times New Roman" w:hAnsi="Garamond" w:cstheme="minorHAnsi"/>
          <w:i/>
          <w:iCs/>
          <w:color w:val="0D0D0D" w:themeColor="text1" w:themeTint="F2"/>
          <w:sz w:val="22"/>
          <w:szCs w:val="22"/>
          <w:lang w:val="en-US" w:eastAsia="en-GB"/>
        </w:rPr>
        <w:t>it</w:t>
      </w:r>
      <w:r w:rsidR="00570775">
        <w:rPr>
          <w:rFonts w:ascii="Garamond" w:eastAsia="Times New Roman" w:hAnsi="Garamond" w:cstheme="minorHAnsi"/>
          <w:color w:val="0D0D0D" w:themeColor="text1" w:themeTint="F2"/>
          <w:sz w:val="22"/>
          <w:szCs w:val="22"/>
          <w:lang w:val="en-US" w:eastAsia="en-GB"/>
        </w:rPr>
        <w:t xml:space="preserve"> grows back</w:t>
      </w:r>
      <w:r w:rsidR="006E0467">
        <w:rPr>
          <w:rFonts w:ascii="Garamond" w:eastAsia="Times New Roman" w:hAnsi="Garamond" w:cstheme="minorHAnsi"/>
          <w:color w:val="0D0D0D" w:themeColor="text1" w:themeTint="F2"/>
          <w:sz w:val="22"/>
          <w:szCs w:val="22"/>
          <w:lang w:val="en-US" w:eastAsia="en-GB"/>
        </w:rPr>
        <w:t>”</w:t>
      </w:r>
      <w:r w:rsidR="00570775">
        <w:rPr>
          <w:rFonts w:ascii="Garamond" w:eastAsia="Times New Roman" w:hAnsi="Garamond" w:cstheme="minorHAnsi"/>
          <w:color w:val="0D0D0D" w:themeColor="text1" w:themeTint="F2"/>
          <w:sz w:val="22"/>
          <w:szCs w:val="22"/>
          <w:lang w:val="en-US" w:eastAsia="en-GB"/>
        </w:rPr>
        <w:t xml:space="preserve">). Yet, more important is perhaps the ‘metamorphosing’ (in and trough animetaphor) into a sea star – a hermaphrodite with the option of asexual reproduction. </w:t>
      </w:r>
      <w:r w:rsidR="00BF1B20">
        <w:rPr>
          <w:rFonts w:ascii="Garamond" w:eastAsia="Times New Roman" w:hAnsi="Garamond" w:cstheme="minorHAnsi"/>
          <w:color w:val="0D0D0D" w:themeColor="text1" w:themeTint="F2"/>
          <w:sz w:val="22"/>
          <w:szCs w:val="22"/>
          <w:lang w:val="en-US" w:eastAsia="en-GB"/>
        </w:rPr>
        <w:t>I do believe that it is the thesis of this</w:t>
      </w:r>
      <w:r w:rsidR="00570775">
        <w:rPr>
          <w:rFonts w:ascii="Garamond" w:eastAsia="Times New Roman" w:hAnsi="Garamond" w:cstheme="minorHAnsi"/>
          <w:color w:val="0D0D0D" w:themeColor="text1" w:themeTint="F2"/>
          <w:sz w:val="22"/>
          <w:szCs w:val="22"/>
          <w:lang w:val="en-US" w:eastAsia="en-GB"/>
        </w:rPr>
        <w:t xml:space="preserve"> text aptly named “</w:t>
      </w:r>
      <w:r w:rsidR="00570775" w:rsidRPr="00570775">
        <w:rPr>
          <w:rFonts w:ascii="Garamond" w:eastAsia="Times New Roman" w:hAnsi="Garamond" w:cstheme="minorHAnsi"/>
          <w:color w:val="0D0D0D" w:themeColor="text1" w:themeTint="F2"/>
          <w:sz w:val="22"/>
          <w:szCs w:val="22"/>
          <w:lang w:val="en-US" w:eastAsia="en-GB"/>
        </w:rPr>
        <w:t>More Lessons from a Starfish</w:t>
      </w:r>
      <w:r w:rsidR="00570775">
        <w:rPr>
          <w:rFonts w:ascii="Garamond" w:eastAsia="Times New Roman" w:hAnsi="Garamond" w:cstheme="minorHAnsi"/>
          <w:color w:val="0D0D0D" w:themeColor="text1" w:themeTint="F2"/>
          <w:sz w:val="22"/>
          <w:szCs w:val="22"/>
          <w:lang w:val="en-US" w:eastAsia="en-GB"/>
        </w:rPr>
        <w:t xml:space="preserve">” to open the possibility of </w:t>
      </w:r>
      <w:r w:rsidR="00BF1B20">
        <w:rPr>
          <w:rFonts w:ascii="Garamond" w:eastAsia="Times New Roman" w:hAnsi="Garamond" w:cstheme="minorHAnsi"/>
          <w:color w:val="0D0D0D" w:themeColor="text1" w:themeTint="F2"/>
          <w:sz w:val="22"/>
          <w:szCs w:val="22"/>
          <w:lang w:val="en-US" w:eastAsia="en-GB"/>
        </w:rPr>
        <w:t xml:space="preserve">extended </w:t>
      </w:r>
      <w:r w:rsidR="00BF1B20" w:rsidRPr="00BF1B20">
        <w:rPr>
          <w:rFonts w:ascii="Garamond" w:eastAsia="Times New Roman" w:hAnsi="Garamond" w:cstheme="minorHAnsi"/>
          <w:i/>
          <w:iCs/>
          <w:color w:val="0D0D0D" w:themeColor="text1" w:themeTint="F2"/>
          <w:sz w:val="22"/>
          <w:szCs w:val="22"/>
          <w:lang w:val="en-US" w:eastAsia="en-GB"/>
        </w:rPr>
        <w:t>re</w:t>
      </w:r>
      <w:r w:rsidR="00BF1B20">
        <w:rPr>
          <w:rFonts w:ascii="Garamond" w:eastAsia="Times New Roman" w:hAnsi="Garamond" w:cstheme="minorHAnsi"/>
          <w:color w:val="0D0D0D" w:themeColor="text1" w:themeTint="F2"/>
          <w:sz w:val="22"/>
          <w:szCs w:val="22"/>
          <w:lang w:val="en-US" w:eastAsia="en-GB"/>
        </w:rPr>
        <w:t xml:space="preserve">-definition, </w:t>
      </w:r>
      <w:r w:rsidR="00BF1B20" w:rsidRPr="00BF1B20">
        <w:rPr>
          <w:rFonts w:ascii="Garamond" w:eastAsia="Times New Roman" w:hAnsi="Garamond" w:cstheme="minorHAnsi"/>
          <w:i/>
          <w:iCs/>
          <w:color w:val="0D0D0D" w:themeColor="text1" w:themeTint="F2"/>
          <w:sz w:val="22"/>
          <w:szCs w:val="22"/>
          <w:lang w:val="en-US" w:eastAsia="en-GB"/>
        </w:rPr>
        <w:t>re</w:t>
      </w:r>
      <w:r w:rsidR="00BF1B20">
        <w:rPr>
          <w:rFonts w:ascii="Garamond" w:eastAsia="Times New Roman" w:hAnsi="Garamond" w:cstheme="minorHAnsi"/>
          <w:color w:val="0D0D0D" w:themeColor="text1" w:themeTint="F2"/>
          <w:sz w:val="22"/>
          <w:szCs w:val="22"/>
          <w:lang w:val="en-US" w:eastAsia="en-GB"/>
        </w:rPr>
        <w:t xml:space="preserve">-imagination, </w:t>
      </w:r>
      <w:r w:rsidR="00BF1B20" w:rsidRPr="00BF1B20">
        <w:rPr>
          <w:rFonts w:ascii="Garamond" w:eastAsia="Times New Roman" w:hAnsi="Garamond" w:cstheme="minorHAnsi"/>
          <w:i/>
          <w:iCs/>
          <w:color w:val="0D0D0D" w:themeColor="text1" w:themeTint="F2"/>
          <w:sz w:val="22"/>
          <w:szCs w:val="22"/>
          <w:lang w:val="en-US" w:eastAsia="en-GB"/>
        </w:rPr>
        <w:t>re</w:t>
      </w:r>
      <w:r w:rsidR="00BF1B20">
        <w:rPr>
          <w:rFonts w:ascii="Garamond" w:eastAsia="Times New Roman" w:hAnsi="Garamond" w:cstheme="minorHAnsi"/>
          <w:color w:val="0D0D0D" w:themeColor="text1" w:themeTint="F2"/>
          <w:sz w:val="22"/>
          <w:szCs w:val="22"/>
          <w:lang w:val="en-US" w:eastAsia="en-GB"/>
        </w:rPr>
        <w:t xml:space="preserve">-habilitation and </w:t>
      </w:r>
      <w:r w:rsidR="00BF1B20" w:rsidRPr="00BF1B20">
        <w:rPr>
          <w:rFonts w:ascii="Garamond" w:eastAsia="Times New Roman" w:hAnsi="Garamond" w:cstheme="minorHAnsi"/>
          <w:i/>
          <w:iCs/>
          <w:color w:val="0D0D0D" w:themeColor="text1" w:themeTint="F2"/>
          <w:sz w:val="22"/>
          <w:szCs w:val="22"/>
          <w:lang w:val="en-US" w:eastAsia="en-GB"/>
        </w:rPr>
        <w:t>re</w:t>
      </w:r>
      <w:r w:rsidR="00BF1B20">
        <w:rPr>
          <w:rFonts w:ascii="Garamond" w:eastAsia="Times New Roman" w:hAnsi="Garamond" w:cstheme="minorHAnsi"/>
          <w:color w:val="0D0D0D" w:themeColor="text1" w:themeTint="F2"/>
          <w:sz w:val="22"/>
          <w:szCs w:val="22"/>
          <w:lang w:val="en-US" w:eastAsia="en-GB"/>
        </w:rPr>
        <w:t>-living of the sensible matter and a sensual meaning bearing the name of ‘human’.</w:t>
      </w:r>
    </w:p>
    <w:p w14:paraId="6F6BCBE9" w14:textId="157AADBF" w:rsidR="00570775" w:rsidRDefault="00570775" w:rsidP="00FF025A">
      <w:pPr>
        <w:rPr>
          <w:rFonts w:ascii="Garamond" w:eastAsia="Times New Roman" w:hAnsi="Garamond" w:cstheme="minorHAnsi"/>
          <w:color w:val="0D0D0D" w:themeColor="text1" w:themeTint="F2"/>
          <w:sz w:val="22"/>
          <w:szCs w:val="22"/>
          <w:lang w:val="en-US" w:eastAsia="en-GB"/>
        </w:rPr>
      </w:pPr>
    </w:p>
    <w:p w14:paraId="1E6834DB" w14:textId="77777777" w:rsidR="00570775" w:rsidRPr="00FF025A" w:rsidRDefault="00570775" w:rsidP="00FF025A">
      <w:pPr>
        <w:rPr>
          <w:rFonts w:ascii="Garamond" w:eastAsia="Times New Roman" w:hAnsi="Garamond" w:cstheme="minorHAnsi"/>
          <w:color w:val="0D0D0D" w:themeColor="text1" w:themeTint="F2"/>
          <w:sz w:val="22"/>
          <w:szCs w:val="22"/>
          <w:lang w:val="en-US" w:eastAsia="en-GB"/>
        </w:rPr>
      </w:pPr>
    </w:p>
    <w:p w14:paraId="034B2297" w14:textId="77777777" w:rsidR="00FF025A" w:rsidRPr="00F24728" w:rsidRDefault="00FF025A" w:rsidP="00FF025A">
      <w:pPr>
        <w:rPr>
          <w:rFonts w:ascii="Garamond" w:eastAsia="Times New Roman" w:hAnsi="Garamond" w:cstheme="minorHAnsi"/>
          <w:color w:val="0D0D0D" w:themeColor="text1" w:themeTint="F2"/>
          <w:sz w:val="22"/>
          <w:szCs w:val="22"/>
          <w:lang w:eastAsia="en-GB"/>
        </w:rPr>
      </w:pPr>
      <w:r w:rsidRPr="00F24728">
        <w:rPr>
          <w:rFonts w:ascii="Garamond" w:eastAsia="Times New Roman" w:hAnsi="Garamond" w:cstheme="minorHAnsi"/>
          <w:b/>
          <w:bCs/>
          <w:color w:val="0D0D0D" w:themeColor="text1" w:themeTint="F2"/>
          <w:sz w:val="22"/>
          <w:szCs w:val="22"/>
          <w:lang w:eastAsia="en-GB"/>
        </w:rPr>
        <w:t>Explain how Munoz refigures failure and heroism in queer performance. How does Herko’s suicide performance ‘move beyond death as finitude’? If Warhol knew about Herko’s suicide, why would he ask him for permission to film it? And considering the final page, what is missing in interpreting the suicide as utopian performance?</w:t>
      </w:r>
      <w:r w:rsidRPr="00F24728">
        <w:rPr>
          <w:rFonts w:ascii="Garamond" w:eastAsia="Times New Roman" w:hAnsi="Garamond" w:cstheme="minorHAnsi"/>
          <w:color w:val="0D0D0D" w:themeColor="text1" w:themeTint="F2"/>
          <w:sz w:val="22"/>
          <w:szCs w:val="22"/>
          <w:lang w:eastAsia="en-GB"/>
        </w:rPr>
        <w:br/>
      </w:r>
    </w:p>
    <w:p w14:paraId="747AB61F" w14:textId="5828BC71" w:rsidR="00FF025A" w:rsidRPr="00053AAC" w:rsidRDefault="00FF025A" w:rsidP="00FF025A">
      <w:pPr>
        <w:rPr>
          <w:rFonts w:ascii="Garamond" w:eastAsia="Times New Roman" w:hAnsi="Garamond" w:cstheme="minorHAnsi"/>
          <w:color w:val="0D0D0D" w:themeColor="text1" w:themeTint="F2"/>
          <w:sz w:val="22"/>
          <w:szCs w:val="22"/>
          <w:lang w:val="en-US" w:eastAsia="en-GB"/>
        </w:rPr>
      </w:pPr>
      <w:r w:rsidRPr="00854FF3">
        <w:rPr>
          <w:rFonts w:ascii="Garamond" w:eastAsia="Times New Roman" w:hAnsi="Garamond" w:cstheme="minorHAnsi"/>
          <w:color w:val="0D0D0D" w:themeColor="text1" w:themeTint="F2"/>
          <w:sz w:val="22"/>
          <w:szCs w:val="22"/>
          <w:lang w:val="en-US" w:eastAsia="en-GB"/>
        </w:rPr>
        <w:lastRenderedPageBreak/>
        <w:t>In Herko’s suicide</w:t>
      </w:r>
      <w:r w:rsidR="00016A2A">
        <w:rPr>
          <w:rFonts w:ascii="Garamond" w:eastAsia="Times New Roman" w:hAnsi="Garamond" w:cstheme="minorHAnsi"/>
          <w:color w:val="0D0D0D" w:themeColor="text1" w:themeTint="F2"/>
          <w:sz w:val="22"/>
          <w:szCs w:val="22"/>
          <w:lang w:val="en-US" w:eastAsia="en-GB"/>
        </w:rPr>
        <w:t>,</w:t>
      </w:r>
      <w:r w:rsidRPr="00854FF3">
        <w:rPr>
          <w:rFonts w:ascii="Garamond" w:eastAsia="Times New Roman" w:hAnsi="Garamond" w:cstheme="minorHAnsi"/>
          <w:color w:val="0D0D0D" w:themeColor="text1" w:themeTint="F2"/>
          <w:sz w:val="22"/>
          <w:szCs w:val="22"/>
          <w:lang w:val="en-US" w:eastAsia="en-GB"/>
        </w:rPr>
        <w:t xml:space="preserve"> Muñoz reads a reconfiguration of the meaning of </w:t>
      </w:r>
      <w:r w:rsidRPr="00854FF3">
        <w:rPr>
          <w:rFonts w:ascii="Garamond" w:eastAsia="Times New Roman" w:hAnsi="Garamond" w:cstheme="minorHAnsi"/>
          <w:color w:val="0D0D0D" w:themeColor="text1" w:themeTint="F2"/>
          <w:sz w:val="22"/>
          <w:szCs w:val="22"/>
          <w:lang w:eastAsia="en-GB"/>
        </w:rPr>
        <w:t>death</w:t>
      </w:r>
      <w:r w:rsidRPr="00854FF3">
        <w:rPr>
          <w:rFonts w:ascii="Garamond" w:eastAsia="Times New Roman" w:hAnsi="Garamond" w:cstheme="minorHAnsi"/>
          <w:color w:val="0D0D0D" w:themeColor="text1" w:themeTint="F2"/>
          <w:sz w:val="22"/>
          <w:szCs w:val="22"/>
          <w:lang w:val="en-US" w:eastAsia="en-GB"/>
        </w:rPr>
        <w:t xml:space="preserve">. Death in the ‘western’ context of </w:t>
      </w:r>
      <w:r w:rsidR="00016A2A">
        <w:rPr>
          <w:rFonts w:ascii="Garamond" w:eastAsia="Times New Roman" w:hAnsi="Garamond" w:cstheme="minorHAnsi"/>
          <w:color w:val="0D0D0D" w:themeColor="text1" w:themeTint="F2"/>
          <w:sz w:val="22"/>
          <w:szCs w:val="22"/>
          <w:lang w:val="en-US" w:eastAsia="en-GB"/>
        </w:rPr>
        <w:t xml:space="preserve">the </w:t>
      </w:r>
      <w:r w:rsidRPr="00854FF3">
        <w:rPr>
          <w:rFonts w:ascii="Garamond" w:eastAsia="Times New Roman" w:hAnsi="Garamond" w:cstheme="minorHAnsi"/>
          <w:color w:val="0D0D0D" w:themeColor="text1" w:themeTint="F2"/>
          <w:sz w:val="22"/>
          <w:szCs w:val="22"/>
          <w:lang w:val="en-US" w:eastAsia="en-GB"/>
        </w:rPr>
        <w:t>heteronormative time, only exists in the antiutopian</w:t>
      </w:r>
      <w:r w:rsidRPr="00854FF3">
        <w:rPr>
          <w:rFonts w:ascii="Garamond" w:eastAsia="Times New Roman" w:hAnsi="Garamond" w:cstheme="minorHAnsi"/>
          <w:color w:val="0D0D0D" w:themeColor="text1" w:themeTint="F2"/>
          <w:sz w:val="22"/>
          <w:szCs w:val="22"/>
          <w:lang w:eastAsia="en-GB"/>
        </w:rPr>
        <w:t xml:space="preserve"> </w:t>
      </w:r>
      <w:r w:rsidRPr="00854FF3">
        <w:rPr>
          <w:rFonts w:ascii="Garamond" w:eastAsia="Times New Roman" w:hAnsi="Garamond" w:cstheme="minorHAnsi"/>
          <w:color w:val="0D0D0D" w:themeColor="text1" w:themeTint="F2"/>
          <w:sz w:val="22"/>
          <w:szCs w:val="22"/>
          <w:lang w:val="en-US" w:eastAsia="en-GB"/>
        </w:rPr>
        <w:t xml:space="preserve">imagination for it signifies </w:t>
      </w:r>
      <w:r w:rsidRPr="00854FF3">
        <w:rPr>
          <w:rFonts w:ascii="Garamond" w:eastAsia="Times New Roman" w:hAnsi="Garamond" w:cstheme="minorHAnsi"/>
          <w:color w:val="0D0D0D" w:themeColor="text1" w:themeTint="F2"/>
          <w:sz w:val="22"/>
          <w:szCs w:val="22"/>
          <w:lang w:eastAsia="en-GB"/>
        </w:rPr>
        <w:t>the end</w:t>
      </w:r>
      <w:r w:rsidRPr="00854FF3">
        <w:rPr>
          <w:rFonts w:ascii="Garamond" w:eastAsia="Times New Roman" w:hAnsi="Garamond" w:cstheme="minorHAnsi"/>
          <w:color w:val="0D0D0D" w:themeColor="text1" w:themeTint="F2"/>
          <w:sz w:val="22"/>
          <w:szCs w:val="22"/>
          <w:lang w:val="en-US" w:eastAsia="en-GB"/>
        </w:rPr>
        <w:t xml:space="preserve"> (fin)</w:t>
      </w:r>
      <w:r w:rsidRPr="00854FF3">
        <w:rPr>
          <w:rFonts w:ascii="Garamond" w:eastAsia="Times New Roman" w:hAnsi="Garamond" w:cstheme="minorHAnsi"/>
          <w:color w:val="0D0D0D" w:themeColor="text1" w:themeTint="F2"/>
          <w:sz w:val="22"/>
          <w:szCs w:val="22"/>
          <w:lang w:eastAsia="en-GB"/>
        </w:rPr>
        <w:t xml:space="preserve"> of potentiality</w:t>
      </w:r>
      <w:r w:rsidRPr="00854FF3">
        <w:rPr>
          <w:rFonts w:ascii="Garamond" w:eastAsia="Times New Roman" w:hAnsi="Garamond" w:cstheme="minorHAnsi"/>
          <w:color w:val="0D0D0D" w:themeColor="text1" w:themeTint="F2"/>
          <w:sz w:val="22"/>
          <w:szCs w:val="22"/>
          <w:lang w:val="en-US" w:eastAsia="en-GB"/>
        </w:rPr>
        <w:t>. Instead,</w:t>
      </w:r>
      <w:r w:rsidRPr="00854FF3">
        <w:rPr>
          <w:rFonts w:ascii="Garamond" w:hAnsi="Garamond" w:cstheme="minorHAnsi"/>
          <w:sz w:val="22"/>
          <w:szCs w:val="22"/>
        </w:rPr>
        <w:t xml:space="preserve"> </w:t>
      </w:r>
      <w:r w:rsidRPr="00854FF3">
        <w:rPr>
          <w:rFonts w:ascii="Garamond" w:hAnsi="Garamond" w:cstheme="minorHAnsi"/>
          <w:sz w:val="22"/>
          <w:szCs w:val="22"/>
          <w:lang w:val="en-US"/>
        </w:rPr>
        <w:t>“</w:t>
      </w:r>
      <w:r w:rsidRPr="00854FF3">
        <w:rPr>
          <w:rFonts w:ascii="Garamond" w:eastAsia="Times New Roman" w:hAnsi="Garamond" w:cstheme="minorHAnsi"/>
          <w:color w:val="0D0D0D" w:themeColor="text1" w:themeTint="F2"/>
          <w:sz w:val="22"/>
          <w:szCs w:val="22"/>
          <w:lang w:val="en-US" w:eastAsia="en-GB"/>
        </w:rPr>
        <w:t xml:space="preserve">Herko’s final queer act helps us look at queer life and cultural </w:t>
      </w:r>
      <w:proofErr w:type="spellStart"/>
      <w:r w:rsidR="00016A2A">
        <w:rPr>
          <w:rFonts w:ascii="Garamond" w:eastAsia="Times New Roman" w:hAnsi="Garamond" w:cstheme="minorHAnsi"/>
          <w:color w:val="0D0D0D" w:themeColor="text1" w:themeTint="F2"/>
          <w:sz w:val="22"/>
          <w:szCs w:val="22"/>
          <w:lang w:val="en-US" w:eastAsia="en-GB"/>
        </w:rPr>
        <w:t>labour</w:t>
      </w:r>
      <w:proofErr w:type="spellEnd"/>
      <w:r w:rsidRPr="00854FF3">
        <w:rPr>
          <w:rFonts w:ascii="Garamond" w:eastAsia="Times New Roman" w:hAnsi="Garamond" w:cstheme="minorHAnsi"/>
          <w:color w:val="0D0D0D" w:themeColor="text1" w:themeTint="F2"/>
          <w:sz w:val="22"/>
          <w:szCs w:val="22"/>
          <w:lang w:val="en-US" w:eastAsia="en-GB"/>
        </w:rPr>
        <w:t xml:space="preserve"> as resonating </w:t>
      </w:r>
      <w:r w:rsidRPr="00854FF3">
        <w:rPr>
          <w:rFonts w:ascii="Garamond" w:eastAsia="Times New Roman" w:hAnsi="Garamond" w:cstheme="minorHAnsi"/>
          <w:i/>
          <w:iCs/>
          <w:color w:val="0D0D0D" w:themeColor="text1" w:themeTint="F2"/>
          <w:sz w:val="22"/>
          <w:szCs w:val="22"/>
          <w:lang w:val="en-US" w:eastAsia="en-GB"/>
        </w:rPr>
        <w:t xml:space="preserve">beyond traditional notions of finitude” </w:t>
      </w:r>
      <w:r w:rsidRPr="00854FF3">
        <w:rPr>
          <w:rFonts w:ascii="Garamond" w:eastAsia="Times New Roman" w:hAnsi="Garamond" w:cstheme="minorHAnsi"/>
          <w:color w:val="0D0D0D" w:themeColor="text1" w:themeTint="F2"/>
          <w:sz w:val="22"/>
          <w:szCs w:val="22"/>
          <w:lang w:val="en-US" w:eastAsia="en-GB"/>
        </w:rPr>
        <w:t>(p.149, italics added)</w:t>
      </w:r>
      <w:r w:rsidRPr="00854FF3">
        <w:rPr>
          <w:rFonts w:ascii="Garamond" w:eastAsia="Times New Roman" w:hAnsi="Garamond" w:cstheme="minorHAnsi"/>
          <w:color w:val="0D0D0D" w:themeColor="text1" w:themeTint="F2"/>
          <w:sz w:val="22"/>
          <w:szCs w:val="22"/>
          <w:lang w:eastAsia="en-GB"/>
        </w:rPr>
        <w:t xml:space="preserve">. Failure is incorporated </w:t>
      </w:r>
      <w:r w:rsidRPr="00854FF3">
        <w:rPr>
          <w:rFonts w:ascii="Garamond" w:eastAsia="Times New Roman" w:hAnsi="Garamond" w:cstheme="minorHAnsi"/>
          <w:color w:val="0D0D0D" w:themeColor="text1" w:themeTint="F2"/>
          <w:sz w:val="22"/>
          <w:szCs w:val="22"/>
          <w:lang w:val="en-US" w:eastAsia="en-GB"/>
        </w:rPr>
        <w:t xml:space="preserve">- </w:t>
      </w:r>
      <w:r w:rsidRPr="00854FF3">
        <w:rPr>
          <w:rFonts w:ascii="Garamond" w:eastAsia="Times New Roman" w:hAnsi="Garamond" w:cstheme="minorHAnsi"/>
          <w:color w:val="0D0D0D" w:themeColor="text1" w:themeTint="F2"/>
          <w:sz w:val="22"/>
          <w:szCs w:val="22"/>
          <w:lang w:eastAsia="en-GB"/>
        </w:rPr>
        <w:t>not excluded</w:t>
      </w:r>
      <w:r w:rsidRPr="00854FF3">
        <w:rPr>
          <w:rFonts w:ascii="Garamond" w:eastAsia="Times New Roman" w:hAnsi="Garamond" w:cstheme="minorHAnsi"/>
          <w:color w:val="0D0D0D" w:themeColor="text1" w:themeTint="F2"/>
          <w:sz w:val="22"/>
          <w:szCs w:val="22"/>
          <w:lang w:val="en-US" w:eastAsia="en-GB"/>
        </w:rPr>
        <w:t xml:space="preserve"> – from the</w:t>
      </w:r>
      <w:r>
        <w:rPr>
          <w:rFonts w:ascii="Garamond" w:eastAsia="Times New Roman" w:hAnsi="Garamond" w:cstheme="minorHAnsi"/>
          <w:color w:val="0D0D0D" w:themeColor="text1" w:themeTint="F2"/>
          <w:sz w:val="22"/>
          <w:szCs w:val="22"/>
          <w:lang w:val="en-US" w:eastAsia="en-GB"/>
        </w:rPr>
        <w:t xml:space="preserve"> queer dancer’s final performance act</w:t>
      </w:r>
      <w:r w:rsidRPr="00854FF3">
        <w:rPr>
          <w:rFonts w:ascii="Garamond" w:eastAsia="Times New Roman" w:hAnsi="Garamond" w:cstheme="minorHAnsi"/>
          <w:color w:val="0D0D0D" w:themeColor="text1" w:themeTint="F2"/>
          <w:sz w:val="22"/>
          <w:szCs w:val="22"/>
          <w:lang w:eastAsia="en-GB"/>
        </w:rPr>
        <w:t xml:space="preserve">. </w:t>
      </w:r>
      <w:r>
        <w:rPr>
          <w:rFonts w:ascii="Garamond" w:eastAsia="Times New Roman" w:hAnsi="Garamond" w:cstheme="minorHAnsi"/>
          <w:color w:val="0D0D0D" w:themeColor="text1" w:themeTint="F2"/>
          <w:sz w:val="22"/>
          <w:szCs w:val="22"/>
          <w:lang w:val="en-US" w:eastAsia="en-GB"/>
        </w:rPr>
        <w:t>The politics of failure</w:t>
      </w:r>
      <w:r w:rsidRPr="00854FF3">
        <w:rPr>
          <w:rFonts w:ascii="Garamond" w:eastAsia="Times New Roman" w:hAnsi="Garamond" w:cstheme="minorHAnsi"/>
          <w:color w:val="0D0D0D" w:themeColor="text1" w:themeTint="F2"/>
          <w:sz w:val="22"/>
          <w:szCs w:val="22"/>
          <w:lang w:eastAsia="en-GB"/>
        </w:rPr>
        <w:t xml:space="preserve"> </w:t>
      </w:r>
      <w:r>
        <w:rPr>
          <w:rFonts w:ascii="Garamond" w:eastAsia="Times New Roman" w:hAnsi="Garamond" w:cstheme="minorHAnsi"/>
          <w:color w:val="0D0D0D" w:themeColor="text1" w:themeTint="F2"/>
          <w:sz w:val="22"/>
          <w:szCs w:val="22"/>
          <w:lang w:val="en-US" w:eastAsia="en-GB"/>
        </w:rPr>
        <w:t>“</w:t>
      </w:r>
      <w:r w:rsidRPr="00C43830">
        <w:rPr>
          <w:rFonts w:ascii="Garamond" w:eastAsia="Times New Roman" w:hAnsi="Garamond" w:cstheme="minorHAnsi"/>
          <w:color w:val="0D0D0D" w:themeColor="text1" w:themeTint="F2"/>
          <w:sz w:val="22"/>
          <w:szCs w:val="22"/>
          <w:lang w:eastAsia="en-GB"/>
        </w:rPr>
        <w:t>perform collisions between the pitiful and the stoic, the majestic and the wretched, the horrific and the laughable</w:t>
      </w:r>
      <w:r>
        <w:rPr>
          <w:rFonts w:ascii="Garamond" w:eastAsia="Times New Roman" w:hAnsi="Garamond" w:cstheme="minorHAnsi"/>
          <w:color w:val="0D0D0D" w:themeColor="text1" w:themeTint="F2"/>
          <w:sz w:val="22"/>
          <w:szCs w:val="22"/>
          <w:lang w:val="en-US" w:eastAsia="en-GB"/>
        </w:rPr>
        <w:t xml:space="preserve">” </w:t>
      </w:r>
      <w:r w:rsidRPr="00854FF3">
        <w:rPr>
          <w:rFonts w:ascii="Garamond" w:eastAsia="Times New Roman" w:hAnsi="Garamond" w:cstheme="minorHAnsi"/>
          <w:color w:val="0D0D0D" w:themeColor="text1" w:themeTint="F2"/>
          <w:sz w:val="22"/>
          <w:szCs w:val="22"/>
          <w:lang w:eastAsia="en-GB"/>
        </w:rPr>
        <w:t>(p. 154)</w:t>
      </w:r>
      <w:r>
        <w:rPr>
          <w:rFonts w:ascii="Garamond" w:eastAsia="Times New Roman" w:hAnsi="Garamond" w:cstheme="minorHAnsi"/>
          <w:color w:val="0D0D0D" w:themeColor="text1" w:themeTint="F2"/>
          <w:sz w:val="22"/>
          <w:szCs w:val="22"/>
          <w:lang w:val="en-US" w:eastAsia="en-GB"/>
        </w:rPr>
        <w:t>.</w:t>
      </w:r>
      <w:r w:rsidRPr="00854FF3">
        <w:rPr>
          <w:rFonts w:ascii="Garamond" w:eastAsia="Times New Roman" w:hAnsi="Garamond" w:cstheme="minorHAnsi"/>
          <w:color w:val="0D0D0D" w:themeColor="text1" w:themeTint="F2"/>
          <w:sz w:val="22"/>
          <w:szCs w:val="22"/>
          <w:lang w:eastAsia="en-GB"/>
        </w:rPr>
        <w:t xml:space="preserve"> </w:t>
      </w:r>
      <w:r>
        <w:rPr>
          <w:rFonts w:ascii="Garamond" w:eastAsia="Times New Roman" w:hAnsi="Garamond" w:cstheme="minorHAnsi"/>
          <w:color w:val="0D0D0D" w:themeColor="text1" w:themeTint="F2"/>
          <w:sz w:val="22"/>
          <w:szCs w:val="22"/>
          <w:lang w:val="en-US" w:eastAsia="en-GB"/>
        </w:rPr>
        <w:t xml:space="preserve">These paradoxes now synthesize – in the act of failing - a new opportunity to manifest, to live, to mark as to trail (in a queer future which is now) the possibility of something else that is latent in and </w:t>
      </w:r>
      <w:r w:rsidRPr="00934F13">
        <w:rPr>
          <w:rFonts w:ascii="Garamond" w:eastAsia="Times New Roman" w:hAnsi="Garamond" w:cstheme="minorHAnsi"/>
          <w:i/>
          <w:iCs/>
          <w:color w:val="0D0D0D" w:themeColor="text1" w:themeTint="F2"/>
          <w:sz w:val="22"/>
          <w:szCs w:val="22"/>
          <w:lang w:val="en-US" w:eastAsia="en-GB"/>
        </w:rPr>
        <w:t>exceeds</w:t>
      </w:r>
      <w:r>
        <w:rPr>
          <w:rFonts w:ascii="Garamond" w:eastAsia="Times New Roman" w:hAnsi="Garamond" w:cstheme="minorHAnsi"/>
          <w:color w:val="0D0D0D" w:themeColor="text1" w:themeTint="F2"/>
          <w:sz w:val="22"/>
          <w:szCs w:val="22"/>
          <w:lang w:val="en-US" w:eastAsia="en-GB"/>
        </w:rPr>
        <w:t xml:space="preserve"> the </w:t>
      </w:r>
      <w:r w:rsidRPr="00C43830">
        <w:rPr>
          <w:rFonts w:ascii="Garamond" w:eastAsia="Times New Roman" w:hAnsi="Garamond" w:cstheme="minorHAnsi"/>
          <w:i/>
          <w:iCs/>
          <w:color w:val="0D0D0D" w:themeColor="text1" w:themeTint="F2"/>
          <w:sz w:val="22"/>
          <w:szCs w:val="22"/>
          <w:lang w:val="en-US" w:eastAsia="en-GB"/>
        </w:rPr>
        <w:t>correct</w:t>
      </w:r>
      <w:r>
        <w:rPr>
          <w:rFonts w:ascii="Garamond" w:eastAsia="Times New Roman" w:hAnsi="Garamond" w:cstheme="minorHAnsi"/>
          <w:color w:val="0D0D0D" w:themeColor="text1" w:themeTint="F2"/>
          <w:sz w:val="22"/>
          <w:szCs w:val="22"/>
          <w:lang w:val="en-US" w:eastAsia="en-GB"/>
        </w:rPr>
        <w:t xml:space="preserve"> way, something that is more than what society deems as successful. The power of this “stutter”-like failure is the interruption of what Muñoz (to quote Halberstam) calls “straight time”. What follows is the generation (and reverberation) of another realizable future of possibilities. In regard to </w:t>
      </w:r>
      <w:proofErr w:type="spellStart"/>
      <w:r>
        <w:rPr>
          <w:rFonts w:ascii="Garamond" w:eastAsia="Times New Roman" w:hAnsi="Garamond" w:cstheme="minorHAnsi"/>
          <w:color w:val="0D0D0D" w:themeColor="text1" w:themeTint="F2"/>
          <w:sz w:val="22"/>
          <w:szCs w:val="22"/>
          <w:lang w:val="en-US" w:eastAsia="en-GB"/>
        </w:rPr>
        <w:t>Herko</w:t>
      </w:r>
      <w:proofErr w:type="spellEnd"/>
      <w:r>
        <w:rPr>
          <w:rFonts w:ascii="Garamond" w:eastAsia="Times New Roman" w:hAnsi="Garamond" w:cstheme="minorHAnsi"/>
          <w:color w:val="0D0D0D" w:themeColor="text1" w:themeTint="F2"/>
          <w:sz w:val="22"/>
          <w:szCs w:val="22"/>
          <w:lang w:val="en-US" w:eastAsia="en-GB"/>
        </w:rPr>
        <w:t xml:space="preserve"> Muñoz frequently utilizes the adjective of “flamboyancy” and “ornamentation” – thus Herko’s “</w:t>
      </w:r>
      <w:r w:rsidRPr="00555B10">
        <w:rPr>
          <w:rFonts w:ascii="Garamond" w:eastAsia="Times New Roman" w:hAnsi="Garamond" w:cstheme="minorHAnsi"/>
          <w:color w:val="0D0D0D" w:themeColor="text1" w:themeTint="F2"/>
          <w:sz w:val="22"/>
          <w:szCs w:val="22"/>
          <w:lang w:val="en-US" w:eastAsia="en-GB"/>
        </w:rPr>
        <w:t>ornamental</w:t>
      </w:r>
      <w:r>
        <w:rPr>
          <w:rFonts w:ascii="Garamond" w:eastAsia="Times New Roman" w:hAnsi="Garamond" w:cstheme="minorHAnsi"/>
          <w:color w:val="0D0D0D" w:themeColor="text1" w:themeTint="F2"/>
          <w:sz w:val="22"/>
          <w:szCs w:val="22"/>
          <w:lang w:val="en-US" w:eastAsia="en-GB"/>
        </w:rPr>
        <w:t>[</w:t>
      </w:r>
      <w:proofErr w:type="spellStart"/>
      <w:r>
        <w:rPr>
          <w:rFonts w:ascii="Garamond" w:eastAsia="Times New Roman" w:hAnsi="Garamond" w:cstheme="minorHAnsi"/>
          <w:color w:val="0D0D0D" w:themeColor="text1" w:themeTint="F2"/>
          <w:sz w:val="22"/>
          <w:szCs w:val="22"/>
          <w:lang w:val="en-US" w:eastAsia="en-GB"/>
        </w:rPr>
        <w:t>ity</w:t>
      </w:r>
      <w:proofErr w:type="spellEnd"/>
      <w:r>
        <w:rPr>
          <w:rFonts w:ascii="Garamond" w:eastAsia="Times New Roman" w:hAnsi="Garamond" w:cstheme="minorHAnsi"/>
          <w:color w:val="0D0D0D" w:themeColor="text1" w:themeTint="F2"/>
          <w:sz w:val="22"/>
          <w:szCs w:val="22"/>
          <w:lang w:val="en-US" w:eastAsia="en-GB"/>
        </w:rPr>
        <w:t>]</w:t>
      </w:r>
      <w:r w:rsidRPr="00555B10">
        <w:rPr>
          <w:rFonts w:ascii="Garamond" w:eastAsia="Times New Roman" w:hAnsi="Garamond" w:cstheme="minorHAnsi"/>
          <w:color w:val="0D0D0D" w:themeColor="text1" w:themeTint="F2"/>
          <w:sz w:val="22"/>
          <w:szCs w:val="22"/>
          <w:lang w:val="en-US" w:eastAsia="en-GB"/>
        </w:rPr>
        <w:t xml:space="preserve"> surpassed the merely aesthetic</w:t>
      </w:r>
      <w:r>
        <w:rPr>
          <w:rFonts w:ascii="Garamond" w:eastAsia="Times New Roman" w:hAnsi="Garamond" w:cstheme="minorHAnsi"/>
          <w:color w:val="0D0D0D" w:themeColor="text1" w:themeTint="F2"/>
          <w:sz w:val="22"/>
          <w:szCs w:val="22"/>
          <w:lang w:val="en-US" w:eastAsia="en-GB"/>
        </w:rPr>
        <w:t xml:space="preserve">… </w:t>
      </w:r>
      <w:r w:rsidRPr="00555B10">
        <w:rPr>
          <w:rFonts w:ascii="Garamond" w:eastAsia="Times New Roman" w:hAnsi="Garamond" w:cstheme="minorHAnsi"/>
          <w:color w:val="0D0D0D" w:themeColor="text1" w:themeTint="F2"/>
          <w:sz w:val="22"/>
          <w:szCs w:val="22"/>
          <w:lang w:val="en-US" w:eastAsia="en-GB"/>
        </w:rPr>
        <w:t xml:space="preserve">functional form is aligned with a </w:t>
      </w:r>
      <w:r w:rsidRPr="00555B10">
        <w:rPr>
          <w:rFonts w:ascii="Garamond" w:eastAsia="Times New Roman" w:hAnsi="Garamond" w:cstheme="minorHAnsi"/>
          <w:i/>
          <w:iCs/>
          <w:color w:val="0D0D0D" w:themeColor="text1" w:themeTint="F2"/>
          <w:sz w:val="22"/>
          <w:szCs w:val="22"/>
          <w:lang w:val="en-US" w:eastAsia="en-GB"/>
        </w:rPr>
        <w:t>normalized spatial and temporal mapping</w:t>
      </w:r>
      <w:r w:rsidRPr="00555B10">
        <w:rPr>
          <w:rFonts w:ascii="Garamond" w:eastAsia="Times New Roman" w:hAnsi="Garamond" w:cstheme="minorHAnsi"/>
          <w:color w:val="0D0D0D" w:themeColor="text1" w:themeTint="F2"/>
          <w:sz w:val="22"/>
          <w:szCs w:val="22"/>
          <w:lang w:val="en-US" w:eastAsia="en-GB"/>
        </w:rPr>
        <w:t xml:space="preserve"> of the world, whereas the expressive exuberance of the ornament </w:t>
      </w:r>
      <w:r w:rsidRPr="00555B10">
        <w:rPr>
          <w:rFonts w:ascii="Garamond" w:eastAsia="Times New Roman" w:hAnsi="Garamond" w:cstheme="minorHAnsi"/>
          <w:i/>
          <w:iCs/>
          <w:color w:val="0D0D0D" w:themeColor="text1" w:themeTint="F2"/>
          <w:sz w:val="22"/>
          <w:szCs w:val="22"/>
          <w:lang w:val="en-US" w:eastAsia="en-GB"/>
        </w:rPr>
        <w:t xml:space="preserve">promises </w:t>
      </w:r>
      <w:r w:rsidRPr="00555B10">
        <w:rPr>
          <w:rFonts w:ascii="Garamond" w:eastAsia="Times New Roman" w:hAnsi="Garamond" w:cstheme="minorHAnsi"/>
          <w:color w:val="0D0D0D" w:themeColor="text1" w:themeTint="F2"/>
          <w:sz w:val="22"/>
          <w:szCs w:val="22"/>
          <w:lang w:val="en-US" w:eastAsia="en-GB"/>
        </w:rPr>
        <w:t>something else— another time and place that is not hamstrung by the present</w:t>
      </w:r>
      <w:r>
        <w:rPr>
          <w:rFonts w:ascii="Garamond" w:eastAsia="Times New Roman" w:hAnsi="Garamond" w:cstheme="minorHAnsi"/>
          <w:color w:val="0D0D0D" w:themeColor="text1" w:themeTint="F2"/>
          <w:sz w:val="22"/>
          <w:szCs w:val="22"/>
          <w:lang w:val="en-US" w:eastAsia="en-GB"/>
        </w:rPr>
        <w:t xml:space="preserve">” (p150 italics added). In an era of modernist minimalism Herko’s flamboyant, self-conscious, fairytale-like, erratic, </w:t>
      </w:r>
      <w:r w:rsidR="00016A2A">
        <w:rPr>
          <w:rFonts w:ascii="Garamond" w:eastAsia="Times New Roman" w:hAnsi="Garamond" w:cstheme="minorHAnsi"/>
          <w:color w:val="0D0D0D" w:themeColor="text1" w:themeTint="F2"/>
          <w:sz w:val="22"/>
          <w:szCs w:val="22"/>
          <w:lang w:val="en-US" w:eastAsia="en-GB"/>
        </w:rPr>
        <w:t>drug-infused</w:t>
      </w:r>
      <w:r>
        <w:rPr>
          <w:rFonts w:ascii="Garamond" w:eastAsia="Times New Roman" w:hAnsi="Garamond" w:cstheme="minorHAnsi"/>
          <w:color w:val="0D0D0D" w:themeColor="text1" w:themeTint="F2"/>
          <w:sz w:val="22"/>
          <w:szCs w:val="22"/>
          <w:lang w:val="en-US" w:eastAsia="en-GB"/>
        </w:rPr>
        <w:t xml:space="preserve"> domineer, movement and costumes flow away from the codex of aesthetics norm to promise something else entirely. Thus, </w:t>
      </w:r>
      <w:r w:rsidRPr="00854FF3">
        <w:rPr>
          <w:rFonts w:ascii="Garamond" w:eastAsia="Times New Roman" w:hAnsi="Garamond" w:cstheme="minorHAnsi"/>
          <w:color w:val="0D0D0D" w:themeColor="text1" w:themeTint="F2"/>
          <w:sz w:val="22"/>
          <w:szCs w:val="22"/>
          <w:lang w:eastAsia="en-GB"/>
        </w:rPr>
        <w:t>Herko</w:t>
      </w:r>
      <w:r>
        <w:rPr>
          <w:rFonts w:ascii="Garamond" w:eastAsia="Times New Roman" w:hAnsi="Garamond" w:cstheme="minorHAnsi"/>
          <w:color w:val="0D0D0D" w:themeColor="text1" w:themeTint="F2"/>
          <w:sz w:val="22"/>
          <w:szCs w:val="22"/>
          <w:lang w:val="en-US" w:eastAsia="en-GB"/>
        </w:rPr>
        <w:t xml:space="preserve"> “</w:t>
      </w:r>
      <w:r w:rsidRPr="00854FF3">
        <w:rPr>
          <w:rFonts w:ascii="Garamond" w:eastAsia="Times New Roman" w:hAnsi="Garamond" w:cstheme="minorHAnsi"/>
          <w:color w:val="0D0D0D" w:themeColor="text1" w:themeTint="F2"/>
          <w:sz w:val="22"/>
          <w:szCs w:val="22"/>
          <w:lang w:eastAsia="en-GB"/>
        </w:rPr>
        <w:t>denaturalize</w:t>
      </w:r>
      <w:r>
        <w:rPr>
          <w:rFonts w:ascii="Garamond" w:eastAsia="Times New Roman" w:hAnsi="Garamond" w:cstheme="minorHAnsi"/>
          <w:color w:val="0D0D0D" w:themeColor="text1" w:themeTint="F2"/>
          <w:sz w:val="22"/>
          <w:szCs w:val="22"/>
          <w:lang w:val="en-US" w:eastAsia="en-GB"/>
        </w:rPr>
        <w:t>[s]</w:t>
      </w:r>
      <w:r w:rsidRPr="00854FF3">
        <w:rPr>
          <w:rFonts w:ascii="Garamond" w:eastAsia="Times New Roman" w:hAnsi="Garamond" w:cstheme="minorHAnsi"/>
          <w:color w:val="0D0D0D" w:themeColor="text1" w:themeTint="F2"/>
          <w:sz w:val="22"/>
          <w:szCs w:val="22"/>
          <w:lang w:eastAsia="en-GB"/>
        </w:rPr>
        <w:t xml:space="preserve"> the way we move in the world </w:t>
      </w:r>
      <w:r>
        <w:rPr>
          <w:rFonts w:ascii="Garamond" w:eastAsia="Times New Roman" w:hAnsi="Garamond" w:cstheme="minorHAnsi"/>
          <w:color w:val="0D0D0D" w:themeColor="text1" w:themeTint="F2"/>
          <w:sz w:val="22"/>
          <w:szCs w:val="22"/>
          <w:lang w:val="en-US" w:eastAsia="en-GB"/>
        </w:rPr>
        <w:t>[as]</w:t>
      </w:r>
      <w:r w:rsidRPr="00854FF3">
        <w:rPr>
          <w:rFonts w:ascii="Garamond" w:eastAsia="Times New Roman" w:hAnsi="Garamond" w:cstheme="minorHAnsi"/>
          <w:color w:val="0D0D0D" w:themeColor="text1" w:themeTint="F2"/>
          <w:sz w:val="22"/>
          <w:szCs w:val="22"/>
          <w:lang w:eastAsia="en-GB"/>
        </w:rPr>
        <w:t xml:space="preserve"> to denaturalize the world itself in </w:t>
      </w:r>
      <w:r w:rsidR="00016A2A">
        <w:rPr>
          <w:rFonts w:ascii="Garamond" w:eastAsia="Times New Roman" w:hAnsi="Garamond" w:cstheme="minorHAnsi"/>
          <w:color w:val="0D0D0D" w:themeColor="text1" w:themeTint="F2"/>
          <w:sz w:val="22"/>
          <w:szCs w:val="22"/>
          <w:lang w:eastAsia="en-GB"/>
        </w:rPr>
        <w:t>favour</w:t>
      </w:r>
      <w:r w:rsidRPr="00854FF3">
        <w:rPr>
          <w:rFonts w:ascii="Garamond" w:eastAsia="Times New Roman" w:hAnsi="Garamond" w:cstheme="minorHAnsi"/>
          <w:color w:val="0D0D0D" w:themeColor="text1" w:themeTint="F2"/>
          <w:sz w:val="22"/>
          <w:szCs w:val="22"/>
          <w:lang w:eastAsia="en-GB"/>
        </w:rPr>
        <w:t xml:space="preserve"> of a utopian performativity.” (p. 151)</w:t>
      </w:r>
      <w:r>
        <w:rPr>
          <w:rFonts w:ascii="Garamond" w:eastAsia="Times New Roman" w:hAnsi="Garamond" w:cstheme="minorHAnsi"/>
          <w:color w:val="0D0D0D" w:themeColor="text1" w:themeTint="F2"/>
          <w:sz w:val="22"/>
          <w:szCs w:val="22"/>
          <w:lang w:val="en-US" w:eastAsia="en-GB"/>
        </w:rPr>
        <w:t xml:space="preserve">. </w:t>
      </w:r>
    </w:p>
    <w:p w14:paraId="32518AE0" w14:textId="33397F10" w:rsidR="0025762E" w:rsidRPr="00721FE7" w:rsidRDefault="00FF025A" w:rsidP="00FF025A">
      <w:r w:rsidRPr="00854FF3">
        <w:rPr>
          <w:rFonts w:ascii="Garamond" w:eastAsia="Times New Roman" w:hAnsi="Garamond" w:cstheme="minorHAnsi"/>
          <w:color w:val="0D0D0D" w:themeColor="text1" w:themeTint="F2"/>
          <w:sz w:val="22"/>
          <w:szCs w:val="22"/>
          <w:lang w:eastAsia="en-GB"/>
        </w:rPr>
        <w:t>Mu</w:t>
      </w:r>
      <w:r>
        <w:rPr>
          <w:rFonts w:ascii="Garamond" w:eastAsia="Times New Roman" w:hAnsi="Garamond" w:cstheme="minorHAnsi"/>
          <w:color w:val="0D0D0D" w:themeColor="text1" w:themeTint="F2"/>
          <w:sz w:val="22"/>
          <w:szCs w:val="22"/>
          <w:lang w:val="en-US" w:eastAsia="en-GB"/>
        </w:rPr>
        <w:t>ñ</w:t>
      </w:r>
      <w:r w:rsidRPr="00854FF3">
        <w:rPr>
          <w:rFonts w:ascii="Garamond" w:eastAsia="Times New Roman" w:hAnsi="Garamond" w:cstheme="minorHAnsi"/>
          <w:color w:val="0D0D0D" w:themeColor="text1" w:themeTint="F2"/>
          <w:sz w:val="22"/>
          <w:szCs w:val="22"/>
          <w:lang w:eastAsia="en-GB"/>
        </w:rPr>
        <w:t xml:space="preserve">oz </w:t>
      </w:r>
      <w:r w:rsidR="00016A2A">
        <w:rPr>
          <w:rFonts w:ascii="Garamond" w:eastAsia="Times New Roman" w:hAnsi="Garamond" w:cstheme="minorHAnsi"/>
          <w:color w:val="0D0D0D" w:themeColor="text1" w:themeTint="F2"/>
          <w:sz w:val="22"/>
          <w:szCs w:val="22"/>
          <w:lang w:eastAsia="en-GB"/>
        </w:rPr>
        <w:t>perceives</w:t>
      </w:r>
      <w:r w:rsidRPr="00854FF3">
        <w:rPr>
          <w:rFonts w:ascii="Garamond" w:eastAsia="Times New Roman" w:hAnsi="Garamond" w:cstheme="minorHAnsi"/>
          <w:color w:val="0D0D0D" w:themeColor="text1" w:themeTint="F2"/>
          <w:sz w:val="22"/>
          <w:szCs w:val="22"/>
          <w:lang w:eastAsia="en-GB"/>
        </w:rPr>
        <w:t xml:space="preserve"> the </w:t>
      </w:r>
      <w:r>
        <w:rPr>
          <w:rFonts w:ascii="Garamond" w:eastAsia="Times New Roman" w:hAnsi="Garamond" w:cstheme="minorHAnsi"/>
          <w:color w:val="0D0D0D" w:themeColor="text1" w:themeTint="F2"/>
          <w:sz w:val="22"/>
          <w:szCs w:val="22"/>
          <w:lang w:val="en-US" w:eastAsia="en-GB"/>
        </w:rPr>
        <w:t xml:space="preserve">tragedy of Herko’s last dance </w:t>
      </w:r>
      <w:r w:rsidRPr="00854FF3">
        <w:rPr>
          <w:rFonts w:ascii="Garamond" w:eastAsia="Times New Roman" w:hAnsi="Garamond" w:cstheme="minorHAnsi"/>
          <w:color w:val="0D0D0D" w:themeColor="text1" w:themeTint="F2"/>
          <w:sz w:val="22"/>
          <w:szCs w:val="22"/>
          <w:lang w:eastAsia="en-GB"/>
        </w:rPr>
        <w:t xml:space="preserve">as a performance </w:t>
      </w:r>
      <w:r>
        <w:rPr>
          <w:rFonts w:ascii="Garamond" w:eastAsia="Times New Roman" w:hAnsi="Garamond" w:cstheme="minorHAnsi"/>
          <w:color w:val="0D0D0D" w:themeColor="text1" w:themeTint="F2"/>
          <w:sz w:val="22"/>
          <w:szCs w:val="22"/>
          <w:lang w:val="en-US" w:eastAsia="en-GB"/>
        </w:rPr>
        <w:t xml:space="preserve">signifying with its last “perfect </w:t>
      </w:r>
      <w:proofErr w:type="spellStart"/>
      <w:r>
        <w:rPr>
          <w:rFonts w:ascii="Garamond" w:eastAsia="Times New Roman" w:hAnsi="Garamond" w:cstheme="minorHAnsi"/>
          <w:color w:val="0D0D0D" w:themeColor="text1" w:themeTint="F2"/>
          <w:sz w:val="22"/>
          <w:szCs w:val="22"/>
          <w:lang w:val="en-US" w:eastAsia="en-GB"/>
        </w:rPr>
        <w:t>jetée</w:t>
      </w:r>
      <w:proofErr w:type="spellEnd"/>
      <w:r>
        <w:rPr>
          <w:rFonts w:ascii="Garamond" w:eastAsia="Times New Roman" w:hAnsi="Garamond" w:cstheme="minorHAnsi"/>
          <w:color w:val="0D0D0D" w:themeColor="text1" w:themeTint="F2"/>
          <w:sz w:val="22"/>
          <w:szCs w:val="22"/>
          <w:lang w:val="en-US" w:eastAsia="en-GB"/>
        </w:rPr>
        <w:t>” out the window</w:t>
      </w:r>
      <w:r w:rsidRPr="00854FF3">
        <w:rPr>
          <w:rFonts w:ascii="Garamond" w:eastAsia="Times New Roman" w:hAnsi="Garamond" w:cstheme="minorHAnsi"/>
          <w:color w:val="0D0D0D" w:themeColor="text1" w:themeTint="F2"/>
          <w:sz w:val="22"/>
          <w:szCs w:val="22"/>
          <w:lang w:eastAsia="en-GB"/>
        </w:rPr>
        <w:t xml:space="preserve"> </w:t>
      </w:r>
      <w:r>
        <w:rPr>
          <w:rFonts w:ascii="Garamond" w:eastAsia="Times New Roman" w:hAnsi="Garamond" w:cstheme="minorHAnsi"/>
          <w:color w:val="0D0D0D" w:themeColor="text1" w:themeTint="F2"/>
          <w:sz w:val="22"/>
          <w:szCs w:val="22"/>
          <w:lang w:val="en-US" w:eastAsia="en-GB"/>
        </w:rPr>
        <w:t xml:space="preserve">an </w:t>
      </w:r>
      <w:r w:rsidRPr="00854FF3">
        <w:rPr>
          <w:rFonts w:ascii="Garamond" w:eastAsia="Times New Roman" w:hAnsi="Garamond" w:cstheme="minorHAnsi"/>
          <w:color w:val="0D0D0D" w:themeColor="text1" w:themeTint="F2"/>
          <w:sz w:val="22"/>
          <w:szCs w:val="22"/>
          <w:lang w:eastAsia="en-GB"/>
        </w:rPr>
        <w:t xml:space="preserve">overcoming </w:t>
      </w:r>
      <w:r>
        <w:rPr>
          <w:rFonts w:ascii="Garamond" w:eastAsia="Times New Roman" w:hAnsi="Garamond" w:cstheme="minorHAnsi"/>
          <w:color w:val="0D0D0D" w:themeColor="text1" w:themeTint="F2"/>
          <w:sz w:val="22"/>
          <w:szCs w:val="22"/>
          <w:lang w:val="en-US" w:eastAsia="en-GB"/>
        </w:rPr>
        <w:t>of the</w:t>
      </w:r>
      <w:r w:rsidRPr="00854FF3">
        <w:rPr>
          <w:rFonts w:ascii="Garamond" w:eastAsia="Times New Roman" w:hAnsi="Garamond" w:cstheme="minorHAnsi"/>
          <w:color w:val="0D0D0D" w:themeColor="text1" w:themeTint="F2"/>
          <w:sz w:val="22"/>
          <w:szCs w:val="22"/>
          <w:lang w:eastAsia="en-GB"/>
        </w:rPr>
        <w:t xml:space="preserve"> limits</w:t>
      </w:r>
      <w:r>
        <w:rPr>
          <w:rFonts w:ascii="Garamond" w:eastAsia="Times New Roman" w:hAnsi="Garamond" w:cstheme="minorHAnsi"/>
          <w:color w:val="0D0D0D" w:themeColor="text1" w:themeTint="F2"/>
          <w:sz w:val="22"/>
          <w:szCs w:val="22"/>
          <w:lang w:val="en-US" w:eastAsia="en-GB"/>
        </w:rPr>
        <w:t xml:space="preserve"> imposed on </w:t>
      </w:r>
      <w:r w:rsidRPr="00854FF3">
        <w:rPr>
          <w:rFonts w:ascii="Garamond" w:eastAsia="Times New Roman" w:hAnsi="Garamond" w:cstheme="minorHAnsi"/>
          <w:color w:val="0D0D0D" w:themeColor="text1" w:themeTint="F2"/>
          <w:sz w:val="22"/>
          <w:szCs w:val="22"/>
          <w:lang w:eastAsia="en-GB"/>
        </w:rPr>
        <w:t>queer potentiality</w:t>
      </w:r>
      <w:r>
        <w:rPr>
          <w:rFonts w:ascii="Garamond" w:eastAsia="Times New Roman" w:hAnsi="Garamond" w:cstheme="minorHAnsi"/>
          <w:color w:val="0D0D0D" w:themeColor="text1" w:themeTint="F2"/>
          <w:sz w:val="22"/>
          <w:szCs w:val="22"/>
          <w:lang w:val="en-US" w:eastAsia="en-GB"/>
        </w:rPr>
        <w:t>. From this perspective</w:t>
      </w:r>
      <w:r w:rsidR="00016A2A">
        <w:rPr>
          <w:rFonts w:ascii="Garamond" w:eastAsia="Times New Roman" w:hAnsi="Garamond" w:cstheme="minorHAnsi"/>
          <w:color w:val="0D0D0D" w:themeColor="text1" w:themeTint="F2"/>
          <w:sz w:val="22"/>
          <w:szCs w:val="22"/>
          <w:lang w:val="en-US" w:eastAsia="en-GB"/>
        </w:rPr>
        <w:t>,</w:t>
      </w:r>
      <w:r>
        <w:rPr>
          <w:rFonts w:ascii="Garamond" w:eastAsia="Times New Roman" w:hAnsi="Garamond" w:cstheme="minorHAnsi"/>
          <w:color w:val="0D0D0D" w:themeColor="text1" w:themeTint="F2"/>
          <w:sz w:val="22"/>
          <w:szCs w:val="22"/>
          <w:lang w:val="en-US" w:eastAsia="en-GB"/>
        </w:rPr>
        <w:t xml:space="preserve"> Andy </w:t>
      </w:r>
      <w:r w:rsidRPr="00854FF3">
        <w:rPr>
          <w:rFonts w:ascii="Garamond" w:eastAsia="Times New Roman" w:hAnsi="Garamond" w:cstheme="minorHAnsi"/>
          <w:color w:val="0D0D0D" w:themeColor="text1" w:themeTint="F2"/>
          <w:sz w:val="22"/>
          <w:szCs w:val="22"/>
          <w:lang w:eastAsia="en-GB"/>
        </w:rPr>
        <w:t>Warhol`s wish to capture</w:t>
      </w:r>
      <w:r>
        <w:rPr>
          <w:rFonts w:ascii="Garamond" w:eastAsia="Times New Roman" w:hAnsi="Garamond" w:cstheme="minorHAnsi"/>
          <w:color w:val="0D0D0D" w:themeColor="text1" w:themeTint="F2"/>
          <w:sz w:val="22"/>
          <w:szCs w:val="22"/>
          <w:lang w:val="en-US" w:eastAsia="en-GB"/>
        </w:rPr>
        <w:t xml:space="preserve"> this last act speaks less of the alleged coldness of spirit on his part but of a desire to make a permanent imprint of the transformative Avant-guard power of this dance ending in suicide</w:t>
      </w:r>
      <w:r w:rsidRPr="00854FF3">
        <w:rPr>
          <w:rFonts w:ascii="Garamond" w:eastAsia="Times New Roman" w:hAnsi="Garamond" w:cstheme="minorHAnsi"/>
          <w:color w:val="0D0D0D" w:themeColor="text1" w:themeTint="F2"/>
          <w:sz w:val="22"/>
          <w:szCs w:val="22"/>
          <w:lang w:eastAsia="en-GB"/>
        </w:rPr>
        <w:t>.</w:t>
      </w:r>
      <w:r>
        <w:rPr>
          <w:rFonts w:ascii="Garamond" w:eastAsia="Times New Roman" w:hAnsi="Garamond" w:cstheme="minorHAnsi"/>
          <w:color w:val="0D0D0D" w:themeColor="text1" w:themeTint="F2"/>
          <w:sz w:val="22"/>
          <w:szCs w:val="22"/>
          <w:lang w:val="en-US" w:eastAsia="en-GB"/>
        </w:rPr>
        <w:t xml:space="preserve"> The inevitable pain of the failure to prevent the death of</w:t>
      </w:r>
      <w:r w:rsidRPr="00854FF3">
        <w:rPr>
          <w:rFonts w:ascii="Garamond" w:eastAsia="Times New Roman" w:hAnsi="Garamond" w:cstheme="minorHAnsi"/>
          <w:color w:val="0D0D0D" w:themeColor="text1" w:themeTint="F2"/>
          <w:sz w:val="22"/>
          <w:szCs w:val="22"/>
          <w:lang w:eastAsia="en-GB"/>
        </w:rPr>
        <w:t xml:space="preserve"> their </w:t>
      </w:r>
      <w:r>
        <w:rPr>
          <w:rFonts w:ascii="Garamond" w:eastAsia="Times New Roman" w:hAnsi="Garamond" w:cstheme="minorHAnsi"/>
          <w:color w:val="0D0D0D" w:themeColor="text1" w:themeTint="F2"/>
          <w:sz w:val="22"/>
          <w:szCs w:val="22"/>
          <w:lang w:val="en-US" w:eastAsia="en-GB"/>
        </w:rPr>
        <w:t xml:space="preserve">loved one – in friends, companions, kin – </w:t>
      </w:r>
      <w:r w:rsidR="00016A2A">
        <w:rPr>
          <w:rFonts w:ascii="Garamond" w:eastAsia="Times New Roman" w:hAnsi="Garamond" w:cstheme="minorHAnsi"/>
          <w:color w:val="0D0D0D" w:themeColor="text1" w:themeTint="F2"/>
          <w:sz w:val="22"/>
          <w:szCs w:val="22"/>
          <w:lang w:val="en-US" w:eastAsia="en-GB"/>
        </w:rPr>
        <w:t>undoubtedly</w:t>
      </w:r>
      <w:r>
        <w:rPr>
          <w:rFonts w:ascii="Garamond" w:eastAsia="Times New Roman" w:hAnsi="Garamond" w:cstheme="minorHAnsi"/>
          <w:color w:val="0D0D0D" w:themeColor="text1" w:themeTint="F2"/>
          <w:sz w:val="22"/>
          <w:szCs w:val="22"/>
          <w:lang w:val="en-US" w:eastAsia="en-GB"/>
        </w:rPr>
        <w:t xml:space="preserve"> reverberates too strongly to be able to allow the traces of the utopian potentiality of the act to be welcomed and realized for what they are. For</w:t>
      </w:r>
      <w:r w:rsidRPr="00854FF3">
        <w:rPr>
          <w:rFonts w:ascii="Garamond" w:eastAsia="Times New Roman" w:hAnsi="Garamond" w:cstheme="minorHAnsi"/>
          <w:color w:val="0D0D0D" w:themeColor="text1" w:themeTint="F2"/>
          <w:sz w:val="22"/>
          <w:szCs w:val="22"/>
          <w:lang w:eastAsia="en-GB"/>
        </w:rPr>
        <w:t xml:space="preserve"> the </w:t>
      </w:r>
      <w:r>
        <w:rPr>
          <w:rFonts w:ascii="Garamond" w:eastAsia="Times New Roman" w:hAnsi="Garamond" w:cstheme="minorHAnsi"/>
          <w:color w:val="0D0D0D" w:themeColor="text1" w:themeTint="F2"/>
          <w:sz w:val="22"/>
          <w:szCs w:val="22"/>
          <w:lang w:val="en-US" w:eastAsia="en-GB"/>
        </w:rPr>
        <w:t>sense</w:t>
      </w:r>
      <w:r w:rsidRPr="00854FF3">
        <w:rPr>
          <w:rFonts w:ascii="Garamond" w:eastAsia="Times New Roman" w:hAnsi="Garamond" w:cstheme="minorHAnsi"/>
          <w:color w:val="0D0D0D" w:themeColor="text1" w:themeTint="F2"/>
          <w:sz w:val="22"/>
          <w:szCs w:val="22"/>
          <w:lang w:eastAsia="en-GB"/>
        </w:rPr>
        <w:t xml:space="preserve"> of </w:t>
      </w:r>
      <w:r>
        <w:rPr>
          <w:rFonts w:ascii="Garamond" w:eastAsia="Times New Roman" w:hAnsi="Garamond" w:cstheme="minorHAnsi"/>
          <w:color w:val="0D0D0D" w:themeColor="text1" w:themeTint="F2"/>
          <w:sz w:val="22"/>
          <w:szCs w:val="22"/>
          <w:lang w:val="en-US" w:eastAsia="en-GB"/>
        </w:rPr>
        <w:t>him who is no longer (conscious) come to haunt the cavities of the present and render amiss the (utopian) performance.</w:t>
      </w:r>
    </w:p>
    <w:sectPr w:rsidR="0025762E" w:rsidRPr="00721FE7" w:rsidSect="008C3A4F">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06D43" w14:textId="77777777" w:rsidR="00A45B4E" w:rsidRDefault="00A45B4E" w:rsidP="00721FE7">
      <w:r>
        <w:separator/>
      </w:r>
    </w:p>
  </w:endnote>
  <w:endnote w:type="continuationSeparator" w:id="0">
    <w:p w14:paraId="5474A40C" w14:textId="77777777" w:rsidR="00A45B4E" w:rsidRDefault="00A45B4E" w:rsidP="00721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DC0E9" w14:textId="77777777" w:rsidR="00A45B4E" w:rsidRDefault="00A45B4E" w:rsidP="00721FE7">
      <w:r>
        <w:separator/>
      </w:r>
    </w:p>
  </w:footnote>
  <w:footnote w:type="continuationSeparator" w:id="0">
    <w:p w14:paraId="086ABB3E" w14:textId="77777777" w:rsidR="00A45B4E" w:rsidRDefault="00A45B4E" w:rsidP="00721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38C16" w14:textId="72037AD7" w:rsidR="00721FE7" w:rsidRPr="00FF025A" w:rsidRDefault="00721FE7">
    <w:pPr>
      <w:pStyle w:val="Header"/>
      <w:rPr>
        <w:rFonts w:ascii="Garamond" w:hAnsi="Garamond"/>
        <w:sz w:val="20"/>
        <w:szCs w:val="20"/>
      </w:rPr>
    </w:pPr>
    <w:r w:rsidRPr="00FF025A">
      <w:rPr>
        <w:rFonts w:ascii="Garamond" w:hAnsi="Garamond"/>
        <w:sz w:val="20"/>
        <w:szCs w:val="20"/>
        <w:lang w:val="en-US"/>
      </w:rPr>
      <w:t xml:space="preserve">WEEK </w:t>
    </w:r>
    <w:r w:rsidR="00FF025A" w:rsidRPr="00FF025A">
      <w:rPr>
        <w:rFonts w:ascii="Garamond" w:hAnsi="Garamond"/>
        <w:sz w:val="20"/>
        <w:szCs w:val="20"/>
        <w:lang w:val="en-US"/>
      </w:rPr>
      <w:t>5</w:t>
    </w:r>
    <w:r w:rsidRPr="00FF025A">
      <w:rPr>
        <w:rFonts w:ascii="Garamond" w:hAnsi="Garamond"/>
        <w:sz w:val="20"/>
        <w:szCs w:val="20"/>
      </w:rPr>
      <w:ptab w:relativeTo="margin" w:alignment="center" w:leader="none"/>
    </w:r>
    <w:r w:rsidR="00FF025A" w:rsidRPr="00FF025A">
      <w:rPr>
        <w:rFonts w:ascii="Garamond" w:hAnsi="Garamond" w:cs="Arial"/>
        <w:b/>
        <w:sz w:val="20"/>
        <w:szCs w:val="20"/>
      </w:rPr>
      <w:t xml:space="preserve"> MOVEMENT, GESTURES, TRANSFORMATION</w:t>
    </w:r>
    <w:r w:rsidR="00FF025A" w:rsidRPr="00FF025A">
      <w:rPr>
        <w:rFonts w:ascii="Garamond" w:hAnsi="Garamond"/>
        <w:sz w:val="20"/>
        <w:szCs w:val="20"/>
      </w:rPr>
      <w:t xml:space="preserve"> </w:t>
    </w:r>
    <w:r w:rsidRPr="00FF025A">
      <w:rPr>
        <w:rFonts w:ascii="Garamond" w:hAnsi="Garamond"/>
        <w:sz w:val="20"/>
        <w:szCs w:val="20"/>
      </w:rPr>
      <w:ptab w:relativeTo="margin" w:alignment="right" w:leader="none"/>
    </w:r>
    <w:r w:rsidRPr="00FF025A">
      <w:rPr>
        <w:rFonts w:ascii="Garamond" w:hAnsi="Garamond"/>
        <w:sz w:val="20"/>
        <w:szCs w:val="20"/>
        <w:lang w:val="en-US"/>
      </w:rPr>
      <w:t>VIA RADENKOVA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9CF"/>
    <w:rsid w:val="00016A2A"/>
    <w:rsid w:val="0025762E"/>
    <w:rsid w:val="00361E65"/>
    <w:rsid w:val="003C4AA1"/>
    <w:rsid w:val="0045412F"/>
    <w:rsid w:val="004829CF"/>
    <w:rsid w:val="00570775"/>
    <w:rsid w:val="005E421D"/>
    <w:rsid w:val="006056C9"/>
    <w:rsid w:val="006E0467"/>
    <w:rsid w:val="006F5DA1"/>
    <w:rsid w:val="00721FE7"/>
    <w:rsid w:val="00803040"/>
    <w:rsid w:val="008C3A4F"/>
    <w:rsid w:val="00922121"/>
    <w:rsid w:val="00A45B4E"/>
    <w:rsid w:val="00A92A21"/>
    <w:rsid w:val="00B10C22"/>
    <w:rsid w:val="00BE5932"/>
    <w:rsid w:val="00BF1B20"/>
    <w:rsid w:val="00F240D8"/>
    <w:rsid w:val="00F25C84"/>
    <w:rsid w:val="00F35710"/>
    <w:rsid w:val="00F877C1"/>
    <w:rsid w:val="00F9301E"/>
    <w:rsid w:val="00FF025A"/>
  </w:rsids>
  <m:mathPr>
    <m:mathFont m:val="Cambria Math"/>
    <m:brkBin m:val="before"/>
    <m:brkBinSub m:val="--"/>
    <m:smallFrac m:val="0"/>
    <m:dispDef/>
    <m:lMargin m:val="0"/>
    <m:rMargin m:val="0"/>
    <m:defJc m:val="centerGroup"/>
    <m:wrapIndent m:val="1440"/>
    <m:intLim m:val="subSup"/>
    <m:naryLim m:val="undOvr"/>
  </m:mathPr>
  <w:themeFontLang w:val="en-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D65AE"/>
  <w15:chartTrackingRefBased/>
  <w15:docId w15:val="{C6F4A98D-A6B7-B743-ADCC-79E779D8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2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FE7"/>
    <w:pPr>
      <w:tabs>
        <w:tab w:val="center" w:pos="4513"/>
        <w:tab w:val="right" w:pos="9026"/>
      </w:tabs>
    </w:pPr>
  </w:style>
  <w:style w:type="character" w:customStyle="1" w:styleId="HeaderChar">
    <w:name w:val="Header Char"/>
    <w:basedOn w:val="DefaultParagraphFont"/>
    <w:link w:val="Header"/>
    <w:uiPriority w:val="99"/>
    <w:rsid w:val="00721FE7"/>
  </w:style>
  <w:style w:type="paragraph" w:styleId="Footer">
    <w:name w:val="footer"/>
    <w:basedOn w:val="Normal"/>
    <w:link w:val="FooterChar"/>
    <w:uiPriority w:val="99"/>
    <w:unhideWhenUsed/>
    <w:rsid w:val="00721FE7"/>
    <w:pPr>
      <w:tabs>
        <w:tab w:val="center" w:pos="4513"/>
        <w:tab w:val="right" w:pos="9026"/>
      </w:tabs>
    </w:pPr>
  </w:style>
  <w:style w:type="character" w:customStyle="1" w:styleId="FooterChar">
    <w:name w:val="Footer Char"/>
    <w:basedOn w:val="DefaultParagraphFont"/>
    <w:link w:val="Footer"/>
    <w:uiPriority w:val="99"/>
    <w:rsid w:val="00721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05559">
      <w:bodyDiv w:val="1"/>
      <w:marLeft w:val="0"/>
      <w:marRight w:val="0"/>
      <w:marTop w:val="0"/>
      <w:marBottom w:val="0"/>
      <w:divBdr>
        <w:top w:val="none" w:sz="0" w:space="0" w:color="auto"/>
        <w:left w:val="none" w:sz="0" w:space="0" w:color="auto"/>
        <w:bottom w:val="none" w:sz="0" w:space="0" w:color="auto"/>
        <w:right w:val="none" w:sz="0" w:space="0" w:color="auto"/>
      </w:divBdr>
      <w:divsChild>
        <w:div w:id="378015975">
          <w:marLeft w:val="0"/>
          <w:marRight w:val="0"/>
          <w:marTop w:val="0"/>
          <w:marBottom w:val="0"/>
          <w:divBdr>
            <w:top w:val="none" w:sz="0" w:space="0" w:color="auto"/>
            <w:left w:val="none" w:sz="0" w:space="0" w:color="auto"/>
            <w:bottom w:val="none" w:sz="0" w:space="0" w:color="auto"/>
            <w:right w:val="none" w:sz="0" w:space="0" w:color="auto"/>
          </w:divBdr>
          <w:divsChild>
            <w:div w:id="1421871609">
              <w:marLeft w:val="0"/>
              <w:marRight w:val="0"/>
              <w:marTop w:val="0"/>
              <w:marBottom w:val="0"/>
              <w:divBdr>
                <w:top w:val="none" w:sz="0" w:space="0" w:color="auto"/>
                <w:left w:val="none" w:sz="0" w:space="0" w:color="auto"/>
                <w:bottom w:val="none" w:sz="0" w:space="0" w:color="auto"/>
                <w:right w:val="none" w:sz="0" w:space="0" w:color="auto"/>
              </w:divBdr>
              <w:divsChild>
                <w:div w:id="3564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982140">
      <w:bodyDiv w:val="1"/>
      <w:marLeft w:val="0"/>
      <w:marRight w:val="0"/>
      <w:marTop w:val="0"/>
      <w:marBottom w:val="0"/>
      <w:divBdr>
        <w:top w:val="none" w:sz="0" w:space="0" w:color="auto"/>
        <w:left w:val="none" w:sz="0" w:space="0" w:color="auto"/>
        <w:bottom w:val="none" w:sz="0" w:space="0" w:color="auto"/>
        <w:right w:val="none" w:sz="0" w:space="0" w:color="auto"/>
      </w:divBdr>
    </w:div>
    <w:div w:id="1361583997">
      <w:bodyDiv w:val="1"/>
      <w:marLeft w:val="0"/>
      <w:marRight w:val="0"/>
      <w:marTop w:val="0"/>
      <w:marBottom w:val="0"/>
      <w:divBdr>
        <w:top w:val="none" w:sz="0" w:space="0" w:color="auto"/>
        <w:left w:val="none" w:sz="0" w:space="0" w:color="auto"/>
        <w:bottom w:val="none" w:sz="0" w:space="0" w:color="auto"/>
        <w:right w:val="none" w:sz="0" w:space="0" w:color="auto"/>
      </w:divBdr>
      <w:divsChild>
        <w:div w:id="1490057977">
          <w:marLeft w:val="0"/>
          <w:marRight w:val="0"/>
          <w:marTop w:val="0"/>
          <w:marBottom w:val="0"/>
          <w:divBdr>
            <w:top w:val="none" w:sz="0" w:space="0" w:color="auto"/>
            <w:left w:val="none" w:sz="0" w:space="0" w:color="auto"/>
            <w:bottom w:val="none" w:sz="0" w:space="0" w:color="auto"/>
            <w:right w:val="none" w:sz="0" w:space="0" w:color="auto"/>
          </w:divBdr>
          <w:divsChild>
            <w:div w:id="1102845175">
              <w:marLeft w:val="0"/>
              <w:marRight w:val="0"/>
              <w:marTop w:val="0"/>
              <w:marBottom w:val="0"/>
              <w:divBdr>
                <w:top w:val="none" w:sz="0" w:space="0" w:color="auto"/>
                <w:left w:val="none" w:sz="0" w:space="0" w:color="auto"/>
                <w:bottom w:val="none" w:sz="0" w:space="0" w:color="auto"/>
                <w:right w:val="none" w:sz="0" w:space="0" w:color="auto"/>
              </w:divBdr>
              <w:divsChild>
                <w:div w:id="10844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4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BAD9920-02D0-894B-8E10-EA5D84B68CA1}">
  <we:reference id="wa200001011" version="1.1.0.0" store="en-GB" storeType="OMEX"/>
  <we:alternateReferences>
    <we:reference id="wa200001011" version="1.1.0.0"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58</TotalTime>
  <Pages>2</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Iva Radenkova</cp:lastModifiedBy>
  <cp:revision>5</cp:revision>
  <dcterms:created xsi:type="dcterms:W3CDTF">2020-12-29T23:38:00Z</dcterms:created>
  <dcterms:modified xsi:type="dcterms:W3CDTF">2020-12-30T00:52:00Z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documentId_7434</vt:lpwstr>
  </property>
  <property fmtid="{D5CDD505-2E9C-101B-9397-08002B2CF9AE}" pid="3" name="grammarly_documentContext">
    <vt:lpwstr>{"goals":[],"domain":"general","emotions":[],"dialect":"british"}</vt:lpwstr>
  </property>
</Properties>
</file>