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13177" w:rsidRDefault="00000000">
      <w:pPr>
        <w:spacing w:after="50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Filozofická fakulta Univerzity Karlovy</w:t>
      </w:r>
    </w:p>
    <w:p w14:paraId="00000002" w14:textId="77777777" w:rsidR="00313177" w:rsidRDefault="00000000">
      <w:pPr>
        <w:spacing w:after="400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Katedra divadelní vědy</w:t>
      </w:r>
    </w:p>
    <w:p w14:paraId="00000003" w14:textId="77777777" w:rsidR="00313177" w:rsidRDefault="00000000">
      <w:pPr>
        <w:jc w:val="center"/>
        <w:rPr>
          <w:rFonts w:ascii="Times New Roman" w:eastAsia="Times New Roman" w:hAnsi="Times New Roman" w:cs="Times New Roman"/>
        </w:rPr>
      </w:pPr>
      <w:r>
        <w:rPr>
          <w:rFonts w:ascii="Times New Roman" w:eastAsia="Times New Roman" w:hAnsi="Times New Roman" w:cs="Times New Roman"/>
        </w:rPr>
        <w:t>Ročníková práce</w:t>
      </w:r>
    </w:p>
    <w:p w14:paraId="00000004" w14:textId="77777777" w:rsidR="00313177" w:rsidRDefault="00000000">
      <w:pPr>
        <w:spacing w:after="50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Metadivadelnost inscenace </w:t>
      </w:r>
      <w:r>
        <w:rPr>
          <w:rFonts w:ascii="Times New Roman" w:eastAsia="Times New Roman" w:hAnsi="Times New Roman" w:cs="Times New Roman"/>
          <w:b/>
          <w:bCs/>
          <w:i/>
          <w:iCs/>
          <w:sz w:val="32"/>
          <w:szCs w:val="32"/>
        </w:rPr>
        <w:t>Akropolis</w:t>
      </w:r>
      <w:r>
        <w:rPr>
          <w:rFonts w:ascii="Times New Roman" w:eastAsia="Times New Roman" w:hAnsi="Times New Roman" w:cs="Times New Roman"/>
          <w:b/>
          <w:bCs/>
          <w:sz w:val="32"/>
          <w:szCs w:val="32"/>
        </w:rPr>
        <w:t xml:space="preserve"> Jerzyho Grotowského</w:t>
      </w:r>
    </w:p>
    <w:p w14:paraId="00000005" w14:textId="77777777" w:rsidR="00313177" w:rsidRDefault="00000000">
      <w:pPr>
        <w:spacing w:after="6500"/>
        <w:jc w:val="center"/>
        <w:rPr>
          <w:rFonts w:ascii="Times New Roman" w:eastAsia="Times New Roman" w:hAnsi="Times New Roman" w:cs="Times New Roman"/>
        </w:rPr>
      </w:pPr>
      <w:r>
        <w:rPr>
          <w:rFonts w:ascii="Times New Roman" w:eastAsia="Times New Roman" w:hAnsi="Times New Roman" w:cs="Times New Roman"/>
        </w:rPr>
        <w:t>Vedoucí práce: doc. Mgr. Martin Pšenička, Ph. D</w:t>
      </w:r>
    </w:p>
    <w:p w14:paraId="00000006" w14:textId="77777777" w:rsidR="00313177" w:rsidRDefault="00000000">
      <w:pPr>
        <w:jc w:val="center"/>
        <w:rPr>
          <w:rFonts w:ascii="Times New Roman" w:eastAsia="Times New Roman" w:hAnsi="Times New Roman" w:cs="Times New Roman"/>
        </w:rPr>
      </w:pPr>
      <w:r>
        <w:rPr>
          <w:rFonts w:ascii="Times New Roman" w:eastAsia="Times New Roman" w:hAnsi="Times New Roman" w:cs="Times New Roman"/>
        </w:rPr>
        <w:t>Lukáš Hladík</w:t>
      </w:r>
    </w:p>
    <w:p w14:paraId="00000007" w14:textId="77777777" w:rsidR="00313177" w:rsidRDefault="00313177">
      <w:pPr>
        <w:spacing w:before="2000"/>
        <w:rPr>
          <w:rFonts w:ascii="Times New Roman" w:eastAsia="Times New Roman" w:hAnsi="Times New Roman" w:cs="Times New Roman"/>
          <w:b/>
          <w:bCs/>
          <w:color w:val="000000"/>
          <w:sz w:val="32"/>
          <w:szCs w:val="32"/>
        </w:rPr>
      </w:pPr>
    </w:p>
    <w:p w14:paraId="00000008" w14:textId="77777777" w:rsidR="00313177" w:rsidRDefault="00000000">
      <w:pPr>
        <w:spacing w:before="1000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Čestné prohlášení</w:t>
      </w:r>
    </w:p>
    <w:p w14:paraId="00000009" w14:textId="21B02304" w:rsidR="00313177" w:rsidRDefault="00000000">
      <w:pPr>
        <w:spacing w:after="7840"/>
        <w:ind w:left="-5" w:right="14"/>
        <w:jc w:val="both"/>
        <w:rPr>
          <w:rFonts w:ascii="Times New Roman" w:eastAsia="Times New Roman" w:hAnsi="Times New Roman" w:cs="Times New Roman"/>
        </w:rPr>
      </w:pPr>
      <w:r>
        <w:rPr>
          <w:rFonts w:ascii="Times New Roman" w:eastAsia="Times New Roman" w:hAnsi="Times New Roman" w:cs="Times New Roman"/>
        </w:rPr>
        <w:t>Prohlašuji, že jsem tuto ročníkovou práci vypracoval samostatně pod vedením zvolené</w:t>
      </w:r>
      <w:r w:rsidR="0064546A">
        <w:rPr>
          <w:rFonts w:ascii="Times New Roman" w:eastAsia="Times New Roman" w:hAnsi="Times New Roman" w:cs="Times New Roman"/>
        </w:rPr>
        <w:t>ho</w:t>
      </w:r>
      <w:r>
        <w:rPr>
          <w:rFonts w:ascii="Times New Roman" w:eastAsia="Times New Roman" w:hAnsi="Times New Roman" w:cs="Times New Roman"/>
        </w:rPr>
        <w:t xml:space="preserve"> školitel</w:t>
      </w:r>
      <w:r w:rsidR="0064546A">
        <w:rPr>
          <w:rFonts w:ascii="Times New Roman" w:eastAsia="Times New Roman" w:hAnsi="Times New Roman" w:cs="Times New Roman"/>
        </w:rPr>
        <w:t>e</w:t>
      </w:r>
      <w:r>
        <w:rPr>
          <w:rFonts w:ascii="Times New Roman" w:eastAsia="Times New Roman" w:hAnsi="Times New Roman" w:cs="Times New Roman"/>
        </w:rPr>
        <w:t xml:space="preserve"> a veškerou použitou literaturu a další podkladové materiály jsem řádně ocitovala a uvedl v seznamu zdrojů. Práce nebyla využita v rámci jiného vysokoškolského studia nebo k dosažení jakéhokoli vysokoškolského titulu.</w:t>
      </w:r>
    </w:p>
    <w:p w14:paraId="0000000A" w14:textId="77777777" w:rsidR="00313177" w:rsidRDefault="00000000">
      <w:pPr>
        <w:keepNext/>
        <w:keepLines/>
        <w:pBdr>
          <w:top w:val="nil"/>
          <w:left w:val="nil"/>
          <w:bottom w:val="nil"/>
          <w:right w:val="nil"/>
          <w:between w:val="nil"/>
        </w:pBdr>
        <w:spacing w:before="240" w:after="0" w:line="259"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Obsah</w:t>
      </w:r>
    </w:p>
    <w:p w14:paraId="0000000B" w14:textId="77777777" w:rsidR="00313177" w:rsidRPr="00833E6E" w:rsidRDefault="00313177">
      <w:pPr>
        <w:rPr>
          <w:rFonts w:ascii="Times New Roman" w:hAnsi="Times New Roman" w:cs="Times New Roman"/>
        </w:rPr>
      </w:pPr>
    </w:p>
    <w:sdt>
      <w:sdtPr>
        <w:rPr>
          <w:rFonts w:ascii="Times New Roman" w:eastAsia="Aptos" w:hAnsi="Times New Roman" w:cs="Times New Roman"/>
          <w:b/>
          <w:bCs/>
          <w:color w:val="auto"/>
          <w:sz w:val="24"/>
          <w:szCs w:val="24"/>
          <w:lang w:val="cs"/>
        </w:rPr>
        <w:id w:val="286244520"/>
        <w:docPartObj>
          <w:docPartGallery w:val="Table of Contents"/>
          <w:docPartUnique/>
        </w:docPartObj>
      </w:sdtPr>
      <w:sdtEndPr>
        <w:rPr>
          <w:sz w:val="22"/>
          <w:szCs w:val="22"/>
        </w:rPr>
      </w:sdtEndPr>
      <w:sdtContent>
        <w:p w14:paraId="6D3C4FCA" w14:textId="50600BC5" w:rsidR="00E90288" w:rsidRPr="00833E6E" w:rsidRDefault="00E90288">
          <w:pPr>
            <w:pStyle w:val="Nadpisobsahu"/>
            <w:rPr>
              <w:rFonts w:ascii="Times New Roman" w:hAnsi="Times New Roman" w:cs="Times New Roman"/>
              <w:b/>
              <w:bCs/>
              <w:sz w:val="24"/>
              <w:szCs w:val="24"/>
            </w:rPr>
          </w:pPr>
        </w:p>
        <w:p w14:paraId="1888848E" w14:textId="715E1DBC" w:rsidR="00833E6E" w:rsidRPr="00833E6E" w:rsidRDefault="00E90288">
          <w:pPr>
            <w:pStyle w:val="Obsah1"/>
            <w:tabs>
              <w:tab w:val="right" w:leader="dot" w:pos="9062"/>
            </w:tabs>
            <w:rPr>
              <w:rFonts w:ascii="Times New Roman" w:eastAsiaTheme="minorEastAsia" w:hAnsi="Times New Roman" w:cs="Times New Roman"/>
              <w:noProof/>
              <w:kern w:val="2"/>
              <w:lang w:val="cs-CZ"/>
              <w14:ligatures w14:val="standardContextual"/>
            </w:rPr>
          </w:pPr>
          <w:r w:rsidRPr="00833E6E">
            <w:rPr>
              <w:rFonts w:ascii="Times New Roman" w:hAnsi="Times New Roman" w:cs="Times New Roman"/>
            </w:rPr>
            <w:fldChar w:fldCharType="begin"/>
          </w:r>
          <w:r w:rsidRPr="00833E6E">
            <w:rPr>
              <w:rFonts w:ascii="Times New Roman" w:hAnsi="Times New Roman" w:cs="Times New Roman"/>
            </w:rPr>
            <w:instrText xml:space="preserve"> TOC \o "1-3" \h \z \u </w:instrText>
          </w:r>
          <w:r w:rsidRPr="00833E6E">
            <w:rPr>
              <w:rFonts w:ascii="Times New Roman" w:hAnsi="Times New Roman" w:cs="Times New Roman"/>
            </w:rPr>
            <w:fldChar w:fldCharType="separate"/>
          </w:r>
          <w:hyperlink w:anchor="_Toc231503417" w:history="1">
            <w:r w:rsidR="00833E6E" w:rsidRPr="00833E6E">
              <w:rPr>
                <w:rStyle w:val="Hypertextovodkaz"/>
                <w:rFonts w:ascii="Times New Roman" w:hAnsi="Times New Roman" w:cs="Times New Roman"/>
                <w:noProof/>
              </w:rPr>
              <w:t>Úvod</w:t>
            </w:r>
            <w:r w:rsidR="00833E6E" w:rsidRPr="00833E6E">
              <w:rPr>
                <w:rFonts w:ascii="Times New Roman" w:hAnsi="Times New Roman" w:cs="Times New Roman"/>
                <w:noProof/>
                <w:webHidden/>
              </w:rPr>
              <w:tab/>
            </w:r>
            <w:r w:rsidR="00833E6E" w:rsidRPr="00833E6E">
              <w:rPr>
                <w:rFonts w:ascii="Times New Roman" w:hAnsi="Times New Roman" w:cs="Times New Roman"/>
                <w:noProof/>
                <w:webHidden/>
              </w:rPr>
              <w:fldChar w:fldCharType="begin"/>
            </w:r>
            <w:r w:rsidR="00833E6E" w:rsidRPr="00833E6E">
              <w:rPr>
                <w:rFonts w:ascii="Times New Roman" w:hAnsi="Times New Roman" w:cs="Times New Roman"/>
                <w:noProof/>
                <w:webHidden/>
              </w:rPr>
              <w:instrText xml:space="preserve"> PAGEREF _Toc231503417 \h </w:instrText>
            </w:r>
            <w:r w:rsidR="00833E6E" w:rsidRPr="00833E6E">
              <w:rPr>
                <w:rFonts w:ascii="Times New Roman" w:hAnsi="Times New Roman" w:cs="Times New Roman"/>
                <w:noProof/>
                <w:webHidden/>
              </w:rPr>
            </w:r>
            <w:r w:rsidR="00833E6E" w:rsidRPr="00833E6E">
              <w:rPr>
                <w:rFonts w:ascii="Times New Roman" w:hAnsi="Times New Roman" w:cs="Times New Roman"/>
                <w:noProof/>
                <w:webHidden/>
              </w:rPr>
              <w:fldChar w:fldCharType="separate"/>
            </w:r>
            <w:r w:rsidR="006E3F77">
              <w:rPr>
                <w:rFonts w:ascii="Times New Roman" w:hAnsi="Times New Roman" w:cs="Times New Roman"/>
                <w:noProof/>
                <w:webHidden/>
              </w:rPr>
              <w:t>4</w:t>
            </w:r>
            <w:r w:rsidR="00833E6E" w:rsidRPr="00833E6E">
              <w:rPr>
                <w:rFonts w:ascii="Times New Roman" w:hAnsi="Times New Roman" w:cs="Times New Roman"/>
                <w:noProof/>
                <w:webHidden/>
              </w:rPr>
              <w:fldChar w:fldCharType="end"/>
            </w:r>
          </w:hyperlink>
        </w:p>
        <w:p w14:paraId="4851F9B4" w14:textId="34445FC5" w:rsidR="00833E6E" w:rsidRPr="00833E6E" w:rsidRDefault="00833E6E">
          <w:pPr>
            <w:pStyle w:val="Obsah1"/>
            <w:tabs>
              <w:tab w:val="right" w:leader="dot" w:pos="9062"/>
            </w:tabs>
            <w:rPr>
              <w:rFonts w:ascii="Times New Roman" w:eastAsiaTheme="minorEastAsia" w:hAnsi="Times New Roman" w:cs="Times New Roman"/>
              <w:noProof/>
              <w:kern w:val="2"/>
              <w:lang w:val="cs-CZ"/>
              <w14:ligatures w14:val="standardContextual"/>
            </w:rPr>
          </w:pPr>
          <w:hyperlink w:anchor="_Toc231503418" w:history="1">
            <w:r w:rsidRPr="00833E6E">
              <w:rPr>
                <w:rStyle w:val="Hypertextovodkaz"/>
                <w:rFonts w:ascii="Times New Roman" w:hAnsi="Times New Roman" w:cs="Times New Roman"/>
                <w:noProof/>
              </w:rPr>
              <w:t>1. Metadivadelnost</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_Toc231503418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5</w:t>
            </w:r>
            <w:r w:rsidRPr="00833E6E">
              <w:rPr>
                <w:rFonts w:ascii="Times New Roman" w:hAnsi="Times New Roman" w:cs="Times New Roman"/>
                <w:noProof/>
                <w:webHidden/>
              </w:rPr>
              <w:fldChar w:fldCharType="end"/>
            </w:r>
          </w:hyperlink>
        </w:p>
        <w:p w14:paraId="0BE53820" w14:textId="25AC4124" w:rsidR="00833E6E" w:rsidRPr="00833E6E" w:rsidRDefault="00833E6E">
          <w:pPr>
            <w:pStyle w:val="Obsah1"/>
            <w:tabs>
              <w:tab w:val="right" w:leader="dot" w:pos="9062"/>
            </w:tabs>
            <w:rPr>
              <w:rFonts w:ascii="Times New Roman" w:eastAsiaTheme="minorEastAsia" w:hAnsi="Times New Roman" w:cs="Times New Roman"/>
              <w:noProof/>
              <w:kern w:val="2"/>
              <w:lang w:val="cs-CZ"/>
              <w14:ligatures w14:val="standardContextual"/>
            </w:rPr>
          </w:pPr>
          <w:hyperlink w:anchor="_Toc231503419" w:history="1">
            <w:r w:rsidRPr="00833E6E">
              <w:rPr>
                <w:rStyle w:val="Hypertextovodkaz"/>
                <w:rFonts w:ascii="Times New Roman" w:hAnsi="Times New Roman" w:cs="Times New Roman"/>
                <w:noProof/>
              </w:rPr>
              <w:t>2. Jerzy Grotowski a chudé divadlo</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_Toc231503419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7</w:t>
            </w:r>
            <w:r w:rsidRPr="00833E6E">
              <w:rPr>
                <w:rFonts w:ascii="Times New Roman" w:hAnsi="Times New Roman" w:cs="Times New Roman"/>
                <w:noProof/>
                <w:webHidden/>
              </w:rPr>
              <w:fldChar w:fldCharType="end"/>
            </w:r>
          </w:hyperlink>
        </w:p>
        <w:p w14:paraId="73A6CCE8" w14:textId="614425F4"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0" w:history="1">
            <w:r w:rsidRPr="00833E6E">
              <w:rPr>
                <w:rStyle w:val="Hypertextovodkaz"/>
                <w:rFonts w:ascii="Times New Roman" w:hAnsi="Times New Roman" w:cs="Times New Roman"/>
                <w:noProof/>
              </w:rPr>
              <w:t>2. 1. Jerzy Grotowski</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_Toc231503420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7</w:t>
            </w:r>
            <w:r w:rsidRPr="00833E6E">
              <w:rPr>
                <w:rFonts w:ascii="Times New Roman" w:hAnsi="Times New Roman" w:cs="Times New Roman"/>
                <w:noProof/>
                <w:webHidden/>
              </w:rPr>
              <w:fldChar w:fldCharType="end"/>
            </w:r>
          </w:hyperlink>
        </w:p>
        <w:p w14:paraId="610FE3B4" w14:textId="1B55E736"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1" w:history="1">
            <w:r w:rsidRPr="00833E6E">
              <w:rPr>
                <w:rStyle w:val="Hypertextovodkaz"/>
                <w:rFonts w:ascii="Times New Roman" w:hAnsi="Times New Roman" w:cs="Times New Roman"/>
                <w:noProof/>
              </w:rPr>
              <w:t>2. 2. Chudé divadlo</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_Toc231503421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9</w:t>
            </w:r>
            <w:r w:rsidRPr="00833E6E">
              <w:rPr>
                <w:rFonts w:ascii="Times New Roman" w:hAnsi="Times New Roman" w:cs="Times New Roman"/>
                <w:noProof/>
                <w:webHidden/>
              </w:rPr>
              <w:fldChar w:fldCharType="end"/>
            </w:r>
          </w:hyperlink>
        </w:p>
        <w:p w14:paraId="399F614F" w14:textId="440259C7" w:rsidR="00833E6E" w:rsidRPr="00833E6E" w:rsidRDefault="00833E6E">
          <w:pPr>
            <w:pStyle w:val="Obsah1"/>
            <w:tabs>
              <w:tab w:val="right" w:leader="dot" w:pos="9062"/>
            </w:tabs>
            <w:rPr>
              <w:rFonts w:ascii="Times New Roman" w:eastAsiaTheme="minorEastAsia" w:hAnsi="Times New Roman" w:cs="Times New Roman"/>
              <w:noProof/>
              <w:kern w:val="2"/>
              <w:lang w:val="cs-CZ"/>
              <w14:ligatures w14:val="standardContextual"/>
            </w:rPr>
          </w:pPr>
          <w:hyperlink w:anchor="_Toc231503422" w:history="1">
            <w:r w:rsidRPr="00833E6E">
              <w:rPr>
                <w:rStyle w:val="Hypertextovodkaz"/>
                <w:rFonts w:ascii="Times New Roman" w:hAnsi="Times New Roman" w:cs="Times New Roman"/>
                <w:i/>
                <w:iCs/>
                <w:noProof/>
              </w:rPr>
              <w:t>3. Akropolis</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_Toc231503422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10</w:t>
            </w:r>
            <w:r w:rsidRPr="00833E6E">
              <w:rPr>
                <w:rFonts w:ascii="Times New Roman" w:hAnsi="Times New Roman" w:cs="Times New Roman"/>
                <w:noProof/>
                <w:webHidden/>
              </w:rPr>
              <w:fldChar w:fldCharType="end"/>
            </w:r>
          </w:hyperlink>
        </w:p>
        <w:p w14:paraId="3264E346" w14:textId="56C9F0FB"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3" w:history="1">
            <w:r w:rsidRPr="00833E6E">
              <w:rPr>
                <w:rStyle w:val="Hypertextovodkaz"/>
                <w:rFonts w:ascii="Times New Roman" w:hAnsi="Times New Roman" w:cs="Times New Roman"/>
                <w:noProof/>
              </w:rPr>
              <w:t xml:space="preserve">3. 1. Wyspiańského drama </w:t>
            </w:r>
            <w:r w:rsidRPr="00833E6E">
              <w:rPr>
                <w:rStyle w:val="Hypertextovodkaz"/>
                <w:rFonts w:ascii="Times New Roman" w:hAnsi="Times New Roman" w:cs="Times New Roman"/>
                <w:i/>
                <w:iCs/>
                <w:noProof/>
              </w:rPr>
              <w:t>Akropolis</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_Toc231503423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10</w:t>
            </w:r>
            <w:r w:rsidRPr="00833E6E">
              <w:rPr>
                <w:rFonts w:ascii="Times New Roman" w:hAnsi="Times New Roman" w:cs="Times New Roman"/>
                <w:noProof/>
                <w:webHidden/>
              </w:rPr>
              <w:fldChar w:fldCharType="end"/>
            </w:r>
          </w:hyperlink>
        </w:p>
        <w:p w14:paraId="636FCA85" w14:textId="4648B1A7"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4" w:history="1">
            <w:r w:rsidRPr="00833E6E">
              <w:rPr>
                <w:rStyle w:val="Hypertextovodkaz"/>
                <w:rFonts w:ascii="Times New Roman" w:hAnsi="Times New Roman" w:cs="Times New Roman"/>
                <w:i/>
                <w:iCs/>
                <w:noProof/>
              </w:rPr>
              <w:t xml:space="preserve">3. 2. </w:t>
            </w:r>
            <w:r w:rsidRPr="00833E6E">
              <w:rPr>
                <w:rStyle w:val="Hypertextovodkaz"/>
                <w:rFonts w:ascii="Times New Roman" w:hAnsi="Times New Roman" w:cs="Times New Roman"/>
                <w:noProof/>
              </w:rPr>
              <w:t>Základní informace k</w:t>
            </w:r>
            <w:r w:rsidRPr="00833E6E">
              <w:rPr>
                <w:rStyle w:val="Hypertextovodkaz"/>
                <w:rFonts w:ascii="Times New Roman" w:hAnsi="Times New Roman" w:cs="Times New Roman"/>
                <w:i/>
                <w:iCs/>
                <w:noProof/>
              </w:rPr>
              <w:t xml:space="preserve"> Akropolis</w:t>
            </w:r>
            <w:r w:rsidRPr="00833E6E">
              <w:rPr>
                <w:rStyle w:val="Hypertextovodkaz"/>
                <w:rFonts w:ascii="Times New Roman" w:hAnsi="Times New Roman" w:cs="Times New Roman"/>
                <w:noProof/>
              </w:rPr>
              <w:t xml:space="preserve"> Jerzyho Grotowského</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_Toc231503424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10</w:t>
            </w:r>
            <w:r w:rsidRPr="00833E6E">
              <w:rPr>
                <w:rFonts w:ascii="Times New Roman" w:hAnsi="Times New Roman" w:cs="Times New Roman"/>
                <w:noProof/>
                <w:webHidden/>
              </w:rPr>
              <w:fldChar w:fldCharType="end"/>
            </w:r>
          </w:hyperlink>
        </w:p>
        <w:p w14:paraId="52B94534" w14:textId="7E2AD9AF"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5" w:history="1">
            <w:r w:rsidRPr="00833E6E">
              <w:rPr>
                <w:rStyle w:val="Hypertextovodkaz"/>
                <w:rFonts w:ascii="Times New Roman" w:hAnsi="Times New Roman" w:cs="Times New Roman"/>
                <w:noProof/>
              </w:rPr>
              <w:t xml:space="preserve">3. 3. Srovnání dramatu a inscenace </w:t>
            </w:r>
            <w:r w:rsidRPr="00833E6E">
              <w:rPr>
                <w:rStyle w:val="Hypertextovodkaz"/>
                <w:rFonts w:ascii="Times New Roman" w:hAnsi="Times New Roman" w:cs="Times New Roman"/>
                <w:i/>
                <w:iCs/>
                <w:noProof/>
              </w:rPr>
              <w:t>Akropolis</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_Toc231503425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11</w:t>
            </w:r>
            <w:r w:rsidRPr="00833E6E">
              <w:rPr>
                <w:rFonts w:ascii="Times New Roman" w:hAnsi="Times New Roman" w:cs="Times New Roman"/>
                <w:noProof/>
                <w:webHidden/>
              </w:rPr>
              <w:fldChar w:fldCharType="end"/>
            </w:r>
          </w:hyperlink>
        </w:p>
        <w:p w14:paraId="28A0C385" w14:textId="606CA00F"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6" w:history="1">
            <w:r w:rsidRPr="00833E6E">
              <w:rPr>
                <w:rStyle w:val="Hypertextovodkaz"/>
                <w:rFonts w:ascii="Times New Roman" w:hAnsi="Times New Roman" w:cs="Times New Roman"/>
                <w:noProof/>
              </w:rPr>
              <w:t xml:space="preserve">3. 4. Herectví </w:t>
            </w:r>
            <w:r w:rsidRPr="00833E6E">
              <w:rPr>
                <w:rStyle w:val="Hypertextovodkaz"/>
                <w:rFonts w:ascii="Times New Roman" w:hAnsi="Times New Roman" w:cs="Times New Roman"/>
                <w:i/>
                <w:iCs/>
                <w:noProof/>
              </w:rPr>
              <w:t>Akropole</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_Toc231503426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14</w:t>
            </w:r>
            <w:r w:rsidRPr="00833E6E">
              <w:rPr>
                <w:rFonts w:ascii="Times New Roman" w:hAnsi="Times New Roman" w:cs="Times New Roman"/>
                <w:noProof/>
                <w:webHidden/>
              </w:rPr>
              <w:fldChar w:fldCharType="end"/>
            </w:r>
          </w:hyperlink>
        </w:p>
        <w:p w14:paraId="3A7980CF" w14:textId="79064BC3"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7" w:history="1">
            <w:r w:rsidRPr="00833E6E">
              <w:rPr>
                <w:rStyle w:val="Hypertextovodkaz"/>
                <w:rFonts w:ascii="Times New Roman" w:hAnsi="Times New Roman" w:cs="Times New Roman"/>
                <w:noProof/>
              </w:rPr>
              <w:t xml:space="preserve">3. 5. Scénografie </w:t>
            </w:r>
            <w:r w:rsidRPr="00833E6E">
              <w:rPr>
                <w:rStyle w:val="Hypertextovodkaz"/>
                <w:rFonts w:ascii="Times New Roman" w:hAnsi="Times New Roman" w:cs="Times New Roman"/>
                <w:i/>
                <w:iCs/>
                <w:noProof/>
              </w:rPr>
              <w:t>Akropole</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_Toc231503427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15</w:t>
            </w:r>
            <w:r w:rsidRPr="00833E6E">
              <w:rPr>
                <w:rFonts w:ascii="Times New Roman" w:hAnsi="Times New Roman" w:cs="Times New Roman"/>
                <w:noProof/>
                <w:webHidden/>
              </w:rPr>
              <w:fldChar w:fldCharType="end"/>
            </w:r>
          </w:hyperlink>
        </w:p>
        <w:p w14:paraId="624F6794" w14:textId="5C0BC842"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8" w:history="1">
            <w:r w:rsidRPr="00833E6E">
              <w:rPr>
                <w:rStyle w:val="Hypertextovodkaz"/>
                <w:rFonts w:ascii="Times New Roman" w:hAnsi="Times New Roman" w:cs="Times New Roman"/>
                <w:noProof/>
              </w:rPr>
              <w:t xml:space="preserve">3. 6. Metadivadelnost </w:t>
            </w:r>
            <w:r w:rsidRPr="00833E6E">
              <w:rPr>
                <w:rStyle w:val="Hypertextovodkaz"/>
                <w:rFonts w:ascii="Times New Roman" w:hAnsi="Times New Roman" w:cs="Times New Roman"/>
                <w:i/>
                <w:iCs/>
                <w:noProof/>
              </w:rPr>
              <w:t>Akropole</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_Toc231503428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16</w:t>
            </w:r>
            <w:r w:rsidRPr="00833E6E">
              <w:rPr>
                <w:rFonts w:ascii="Times New Roman" w:hAnsi="Times New Roman" w:cs="Times New Roman"/>
                <w:noProof/>
                <w:webHidden/>
              </w:rPr>
              <w:fldChar w:fldCharType="end"/>
            </w:r>
          </w:hyperlink>
        </w:p>
        <w:p w14:paraId="1B458590" w14:textId="0627D4BE" w:rsidR="00833E6E" w:rsidRPr="00833E6E" w:rsidRDefault="00833E6E">
          <w:pPr>
            <w:pStyle w:val="Obsah2"/>
            <w:tabs>
              <w:tab w:val="right" w:leader="dot" w:pos="9062"/>
            </w:tabs>
            <w:rPr>
              <w:rFonts w:ascii="Times New Roman" w:eastAsiaTheme="minorEastAsia" w:hAnsi="Times New Roman" w:cs="Times New Roman"/>
              <w:noProof/>
              <w:kern w:val="2"/>
              <w:lang w:val="cs-CZ"/>
              <w14:ligatures w14:val="standardContextual"/>
            </w:rPr>
          </w:pPr>
          <w:hyperlink w:anchor="_Toc231503429" w:history="1">
            <w:r w:rsidRPr="00833E6E">
              <w:rPr>
                <w:rStyle w:val="Hypertextovodkaz"/>
                <w:rFonts w:ascii="Times New Roman" w:hAnsi="Times New Roman" w:cs="Times New Roman"/>
                <w:noProof/>
              </w:rPr>
              <w:t xml:space="preserve">3. 7. Kontext inscenace </w:t>
            </w:r>
            <w:r w:rsidRPr="00833E6E">
              <w:rPr>
                <w:rStyle w:val="Hypertextovodkaz"/>
                <w:rFonts w:ascii="Times New Roman" w:hAnsi="Times New Roman" w:cs="Times New Roman"/>
                <w:i/>
                <w:iCs/>
                <w:noProof/>
              </w:rPr>
              <w:t>Akropole</w:t>
            </w:r>
            <w:r w:rsidRPr="00833E6E">
              <w:rPr>
                <w:rStyle w:val="Hypertextovodkaz"/>
                <w:rFonts w:ascii="Times New Roman" w:hAnsi="Times New Roman" w:cs="Times New Roman"/>
                <w:noProof/>
              </w:rPr>
              <w:t xml:space="preserve"> v druhé divadelní reformě</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_Toc231503429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17</w:t>
            </w:r>
            <w:r w:rsidRPr="00833E6E">
              <w:rPr>
                <w:rFonts w:ascii="Times New Roman" w:hAnsi="Times New Roman" w:cs="Times New Roman"/>
                <w:noProof/>
                <w:webHidden/>
              </w:rPr>
              <w:fldChar w:fldCharType="end"/>
            </w:r>
          </w:hyperlink>
        </w:p>
        <w:p w14:paraId="5521B543" w14:textId="7D35BDE1" w:rsidR="00833E6E" w:rsidRPr="00833E6E" w:rsidRDefault="00833E6E">
          <w:pPr>
            <w:pStyle w:val="Obsah1"/>
            <w:tabs>
              <w:tab w:val="right" w:leader="dot" w:pos="9062"/>
            </w:tabs>
            <w:rPr>
              <w:rFonts w:ascii="Times New Roman" w:eastAsiaTheme="minorEastAsia" w:hAnsi="Times New Roman" w:cs="Times New Roman"/>
              <w:noProof/>
              <w:kern w:val="2"/>
              <w:lang w:val="cs-CZ"/>
              <w14:ligatures w14:val="standardContextual"/>
            </w:rPr>
          </w:pPr>
          <w:hyperlink w:anchor="_Toc231503430" w:history="1">
            <w:r w:rsidRPr="00833E6E">
              <w:rPr>
                <w:rStyle w:val="Hypertextovodkaz"/>
                <w:rFonts w:ascii="Times New Roman" w:hAnsi="Times New Roman" w:cs="Times New Roman"/>
                <w:noProof/>
              </w:rPr>
              <w:t>Závěr</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_Toc231503430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19</w:t>
            </w:r>
            <w:r w:rsidRPr="00833E6E">
              <w:rPr>
                <w:rFonts w:ascii="Times New Roman" w:hAnsi="Times New Roman" w:cs="Times New Roman"/>
                <w:noProof/>
                <w:webHidden/>
              </w:rPr>
              <w:fldChar w:fldCharType="end"/>
            </w:r>
          </w:hyperlink>
        </w:p>
        <w:p w14:paraId="09339DEA" w14:textId="6575F8AE" w:rsidR="00833E6E" w:rsidRPr="00833E6E" w:rsidRDefault="00833E6E">
          <w:pPr>
            <w:pStyle w:val="Obsah1"/>
            <w:tabs>
              <w:tab w:val="right" w:leader="dot" w:pos="9062"/>
            </w:tabs>
            <w:rPr>
              <w:rFonts w:ascii="Times New Roman" w:eastAsiaTheme="minorEastAsia" w:hAnsi="Times New Roman" w:cs="Times New Roman"/>
              <w:noProof/>
              <w:kern w:val="2"/>
              <w:lang w:val="cs-CZ"/>
              <w14:ligatures w14:val="standardContextual"/>
            </w:rPr>
          </w:pPr>
          <w:hyperlink w:anchor="_Toc231503431" w:history="1">
            <w:r w:rsidRPr="00833E6E">
              <w:rPr>
                <w:rStyle w:val="Hypertextovodkaz"/>
                <w:rFonts w:ascii="Times New Roman" w:hAnsi="Times New Roman" w:cs="Times New Roman"/>
                <w:noProof/>
              </w:rPr>
              <w:t>Seznam zdrojů:</w:t>
            </w:r>
            <w:r w:rsidRPr="00833E6E">
              <w:rPr>
                <w:rFonts w:ascii="Times New Roman" w:hAnsi="Times New Roman" w:cs="Times New Roman"/>
                <w:noProof/>
                <w:webHidden/>
              </w:rPr>
              <w:tab/>
            </w:r>
            <w:r w:rsidRPr="00833E6E">
              <w:rPr>
                <w:rFonts w:ascii="Times New Roman" w:hAnsi="Times New Roman" w:cs="Times New Roman"/>
                <w:noProof/>
                <w:webHidden/>
              </w:rPr>
              <w:fldChar w:fldCharType="begin"/>
            </w:r>
            <w:r w:rsidRPr="00833E6E">
              <w:rPr>
                <w:rFonts w:ascii="Times New Roman" w:hAnsi="Times New Roman" w:cs="Times New Roman"/>
                <w:noProof/>
                <w:webHidden/>
              </w:rPr>
              <w:instrText xml:space="preserve"> PAGEREF _Toc231503431 \h </w:instrText>
            </w:r>
            <w:r w:rsidRPr="00833E6E">
              <w:rPr>
                <w:rFonts w:ascii="Times New Roman" w:hAnsi="Times New Roman" w:cs="Times New Roman"/>
                <w:noProof/>
                <w:webHidden/>
              </w:rPr>
            </w:r>
            <w:r w:rsidRPr="00833E6E">
              <w:rPr>
                <w:rFonts w:ascii="Times New Roman" w:hAnsi="Times New Roman" w:cs="Times New Roman"/>
                <w:noProof/>
                <w:webHidden/>
              </w:rPr>
              <w:fldChar w:fldCharType="separate"/>
            </w:r>
            <w:r w:rsidR="006E3F77">
              <w:rPr>
                <w:rFonts w:ascii="Times New Roman" w:hAnsi="Times New Roman" w:cs="Times New Roman"/>
                <w:noProof/>
                <w:webHidden/>
              </w:rPr>
              <w:t>20</w:t>
            </w:r>
            <w:r w:rsidRPr="00833E6E">
              <w:rPr>
                <w:rFonts w:ascii="Times New Roman" w:hAnsi="Times New Roman" w:cs="Times New Roman"/>
                <w:noProof/>
                <w:webHidden/>
              </w:rPr>
              <w:fldChar w:fldCharType="end"/>
            </w:r>
          </w:hyperlink>
        </w:p>
        <w:p w14:paraId="0000001B" w14:textId="1C3DD3EE" w:rsidR="00313177" w:rsidRPr="00833E6E" w:rsidRDefault="00E90288">
          <w:pPr>
            <w:rPr>
              <w:rFonts w:ascii="Times New Roman" w:hAnsi="Times New Roman" w:cs="Times New Roman"/>
              <w:sz w:val="22"/>
              <w:szCs w:val="22"/>
            </w:rPr>
          </w:pPr>
          <w:r w:rsidRPr="00833E6E">
            <w:rPr>
              <w:rFonts w:ascii="Times New Roman" w:hAnsi="Times New Roman" w:cs="Times New Roman"/>
              <w:b/>
              <w:bCs/>
            </w:rPr>
            <w:fldChar w:fldCharType="end"/>
          </w:r>
        </w:p>
      </w:sdtContent>
    </w:sdt>
    <w:p w14:paraId="6889B16F" w14:textId="7F14E155" w:rsidR="00E90288" w:rsidRDefault="00E90288">
      <w:pPr>
        <w:rPr>
          <w:rFonts w:ascii="Times New Roman" w:eastAsia="Times New Roman" w:hAnsi="Times New Roman" w:cs="Times New Roman"/>
          <w:b/>
          <w:bCs/>
          <w:sz w:val="28"/>
          <w:szCs w:val="28"/>
        </w:rPr>
      </w:pPr>
      <w:r>
        <w:br w:type="page"/>
      </w:r>
    </w:p>
    <w:p w14:paraId="5F157E6D" w14:textId="77777777" w:rsidR="00E90288" w:rsidRDefault="00E90288">
      <w:pPr>
        <w:pStyle w:val="Nadpis1"/>
      </w:pPr>
    </w:p>
    <w:p w14:paraId="0000001C" w14:textId="1EEF973D" w:rsidR="00313177" w:rsidRDefault="00000000">
      <w:pPr>
        <w:pStyle w:val="Nadpis1"/>
      </w:pPr>
      <w:bookmarkStart w:id="0" w:name="_Toc231503417"/>
      <w:r>
        <w:t>Úvod</w:t>
      </w:r>
      <w:bookmarkEnd w:id="0"/>
    </w:p>
    <w:p w14:paraId="0000001D" w14:textId="77777777"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Pro svou ročníkovou práci jsem si zvolil inscenaci Jerzyho Grotowského s názvem </w:t>
      </w:r>
      <w:r>
        <w:rPr>
          <w:rFonts w:ascii="Times New Roman" w:eastAsia="Times New Roman" w:hAnsi="Times New Roman" w:cs="Times New Roman"/>
          <w:i/>
          <w:iCs/>
        </w:rPr>
        <w:t xml:space="preserve">Akropolis </w:t>
      </w:r>
      <w:r>
        <w:rPr>
          <w:rFonts w:ascii="Times New Roman" w:eastAsia="Times New Roman" w:hAnsi="Times New Roman" w:cs="Times New Roman"/>
        </w:rPr>
        <w:t>(1964–1965). Jde o zpracování polského dramatu od Stanislawa Wyspiańského z roku 1904. Grotowski si vybral pro text, odehrávající se na krakovském hradě Wawel, zvláštní rámec a zasadil ho do koncentračního tábora Osvětim. Inscenace je ukázkovým příkladem jeho koncepce chudého divadla, zároveň zapadá do celkového kulturního a divadelního prostředí druhé divadelní reformy.</w:t>
      </w:r>
    </w:p>
    <w:p w14:paraId="0000001E"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Ve své práci bych se chtěl podívat na inscenaci Akropolis skrze koncept metadivadelnosti a zjistit, zda je tento pojem vhodný pro používání u Grotowského divadelního přístupu. Nejprve se budu věnovat samotné metadivadelnosti, poté bude následovat část věnována tvorbě Grotowského a samotný rozbor inscenace </w:t>
      </w:r>
      <w:r>
        <w:rPr>
          <w:rFonts w:ascii="Times New Roman" w:eastAsia="Times New Roman" w:hAnsi="Times New Roman" w:cs="Times New Roman"/>
          <w:i/>
          <w:iCs/>
        </w:rPr>
        <w:t>Akropolis</w:t>
      </w:r>
      <w:r>
        <w:rPr>
          <w:rFonts w:ascii="Times New Roman" w:eastAsia="Times New Roman" w:hAnsi="Times New Roman" w:cs="Times New Roman"/>
        </w:rPr>
        <w:t>. Na závěr zasadím inscenaci do kontextu 60. let minulého století.</w:t>
      </w:r>
    </w:p>
    <w:p w14:paraId="0000001F" w14:textId="77777777" w:rsidR="00313177" w:rsidRDefault="00000000">
      <w:pPr>
        <w:spacing w:line="360" w:lineRule="auto"/>
        <w:ind w:firstLine="708"/>
        <w:rPr>
          <w:rFonts w:ascii="Times New Roman" w:eastAsia="Times New Roman" w:hAnsi="Times New Roman" w:cs="Times New Roman"/>
        </w:rPr>
      </w:pPr>
      <w:r>
        <w:rPr>
          <w:rFonts w:ascii="Times New Roman" w:eastAsia="Times New Roman" w:hAnsi="Times New Roman" w:cs="Times New Roman"/>
        </w:rPr>
        <w:t xml:space="preserve">Mým hlavním zdrojem pro zkoumání inscenace </w:t>
      </w:r>
      <w:r>
        <w:rPr>
          <w:rFonts w:ascii="Times New Roman" w:eastAsia="Times New Roman" w:hAnsi="Times New Roman" w:cs="Times New Roman"/>
          <w:i/>
          <w:iCs/>
        </w:rPr>
        <w:t xml:space="preserve">Akropolis </w:t>
      </w:r>
      <w:r>
        <w:rPr>
          <w:rFonts w:ascii="Times New Roman" w:eastAsia="Times New Roman" w:hAnsi="Times New Roman" w:cs="Times New Roman"/>
        </w:rPr>
        <w:t>je filmový záznam z roku 1968 na doporučení Institutu Jerzyho Grotowského ve Wrocławi.</w:t>
      </w:r>
      <w:r>
        <w:rPr>
          <w:rFonts w:ascii="Times New Roman" w:eastAsia="Times New Roman" w:hAnsi="Times New Roman" w:cs="Times New Roman"/>
          <w:vertAlign w:val="superscript"/>
        </w:rPr>
        <w:footnoteReference w:id="1"/>
      </w:r>
    </w:p>
    <w:p w14:paraId="00000021" w14:textId="56A001E0" w:rsidR="00313177" w:rsidRDefault="00000000" w:rsidP="00E90288">
      <w:pPr>
        <w:rPr>
          <w:rFonts w:ascii="Times New Roman" w:eastAsia="Times New Roman" w:hAnsi="Times New Roman" w:cs="Times New Roman"/>
        </w:rPr>
      </w:pPr>
      <w:r>
        <w:br w:type="page"/>
      </w:r>
    </w:p>
    <w:p w14:paraId="00000022" w14:textId="77777777" w:rsidR="00313177" w:rsidRDefault="00000000">
      <w:pPr>
        <w:pStyle w:val="Nadpis1"/>
      </w:pPr>
      <w:bookmarkStart w:id="1" w:name="_Toc231503418"/>
      <w:r>
        <w:lastRenderedPageBreak/>
        <w:t>1. Metadivadelnost</w:t>
      </w:r>
      <w:bookmarkEnd w:id="1"/>
    </w:p>
    <w:p w14:paraId="00000023" w14:textId="77777777"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Metadivadelnost je komplikovaný pojem, ke kterému přistupují různí autoři v různých obdobích odlišně. Původ jeho používání můžeme najít v knize </w:t>
      </w:r>
      <w:r>
        <w:rPr>
          <w:rFonts w:ascii="Times New Roman" w:eastAsia="Times New Roman" w:hAnsi="Times New Roman" w:cs="Times New Roman"/>
          <w:i/>
          <w:iCs/>
        </w:rPr>
        <w:t xml:space="preserve">Metatheatre </w:t>
      </w:r>
      <w:r>
        <w:rPr>
          <w:rFonts w:ascii="Times New Roman" w:eastAsia="Times New Roman" w:hAnsi="Times New Roman" w:cs="Times New Roman"/>
        </w:rPr>
        <w:t>Lionela Abela z roku 1963. Abel zavádí pojem metadivadlo (</w:t>
      </w:r>
      <w:r>
        <w:rPr>
          <w:rFonts w:ascii="Times New Roman" w:eastAsia="Times New Roman" w:hAnsi="Times New Roman" w:cs="Times New Roman"/>
          <w:i/>
          <w:iCs/>
        </w:rPr>
        <w:t>metatheatre</w:t>
      </w:r>
      <w:r>
        <w:rPr>
          <w:rFonts w:ascii="Times New Roman" w:eastAsia="Times New Roman" w:hAnsi="Times New Roman" w:cs="Times New Roman"/>
        </w:rPr>
        <w:t>) jako samotný divadelní žánr, vedle tragédie a komedie.</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Vychází ze své vlastní analýzy antického divadla, kde se věnuje podstatě tragédie. Ta je podle něj dvojí: jednak je hlavní hrdina zničen, nebo se skrze tragickou destrukci stává svatým daemonem. Jeho motivačním principem je hybris (někdy překládáno jako nebezpečná pýcha, což nevystihuje pojem v celku), který si určuje Abel následovně: </w:t>
      </w:r>
      <w:r w:rsidRPr="00E90288">
        <w:rPr>
          <w:rFonts w:ascii="Times New Roman" w:eastAsia="Times New Roman" w:hAnsi="Times New Roman" w:cs="Times New Roman"/>
        </w:rPr>
        <w:t>„Hybris je tedy nárok na určitý druh božství, který může, ale nemusí být splněn. Nejde o to, že by tragický hrdina byl ochoten podstoupit zkázu, aby se stal daemonem. Naopak, tragický hrdina doufá, že dosáhne jiných, lidštějších cílů. Chová se však, jako by byl nezranitelný. Tato představa ho vede ke zkáze.“</w:t>
      </w:r>
      <w:r w:rsidRPr="00E90288">
        <w:rPr>
          <w:rFonts w:ascii="Times New Roman" w:eastAsia="Times New Roman" w:hAnsi="Times New Roman" w:cs="Times New Roman"/>
          <w:vertAlign w:val="superscript"/>
        </w:rPr>
        <w:footnoteReference w:id="3"/>
      </w:r>
    </w:p>
    <w:p w14:paraId="00000024" w14:textId="071FE496"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Abelovým základním argumentem pro vymezení dalšího základního žánru je, že v průběhu vývoje evropské civilizace dochází ke ztrátě schopnosti psát tragédii.</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Za příklad dává Shakespearovu tvorbu, konkrétně </w:t>
      </w:r>
      <w:r>
        <w:rPr>
          <w:rFonts w:ascii="Times New Roman" w:eastAsia="Times New Roman" w:hAnsi="Times New Roman" w:cs="Times New Roman"/>
          <w:i/>
          <w:iCs/>
        </w:rPr>
        <w:t>Hamleta</w:t>
      </w:r>
      <w:r>
        <w:rPr>
          <w:rFonts w:ascii="Times New Roman" w:eastAsia="Times New Roman" w:hAnsi="Times New Roman" w:cs="Times New Roman"/>
        </w:rPr>
        <w:t>,</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kterého zařazuje právě k metadivadlu. Dle Abela tragédie potřebuje nedostatek sebeuvědomění, jenže západní literatura a dramatika pod rostoucím vlivem skepticismu a racionality po postavách vyžaduje sebereflektivní chování.</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Hamlet je ukázkovým příkladem tohoto jevu</w:t>
      </w:r>
      <w:r>
        <w:rPr>
          <w:rFonts w:ascii="Times New Roman" w:eastAsia="Times New Roman" w:hAnsi="Times New Roman" w:cs="Times New Roman"/>
          <w:color w:val="FF0000"/>
        </w:rPr>
        <w:t>,</w:t>
      </w:r>
      <w:r>
        <w:rPr>
          <w:rFonts w:ascii="Times New Roman" w:eastAsia="Times New Roman" w:hAnsi="Times New Roman" w:cs="Times New Roman"/>
        </w:rPr>
        <w:t xml:space="preserve"> přemítá nad sebou samým, nad</w:t>
      </w:r>
      <w:r>
        <w:rPr>
          <w:rFonts w:ascii="Times New Roman" w:eastAsia="Times New Roman" w:hAnsi="Times New Roman" w:cs="Times New Roman"/>
          <w:color w:val="FF0000"/>
        </w:rPr>
        <w:t xml:space="preserve"> </w:t>
      </w:r>
      <w:r>
        <w:rPr>
          <w:rFonts w:ascii="Times New Roman" w:eastAsia="Times New Roman" w:hAnsi="Times New Roman" w:cs="Times New Roman"/>
        </w:rPr>
        <w:t>svým údělem, a</w:t>
      </w:r>
      <w:r w:rsidR="006E3F77">
        <w:rPr>
          <w:rFonts w:ascii="Times New Roman" w:eastAsia="Times New Roman" w:hAnsi="Times New Roman" w:cs="Times New Roman"/>
        </w:rPr>
        <w:t> </w:t>
      </w:r>
      <w:r>
        <w:rPr>
          <w:rFonts w:ascii="Times New Roman" w:eastAsia="Times New Roman" w:hAnsi="Times New Roman" w:cs="Times New Roman"/>
        </w:rPr>
        <w:t xml:space="preserve">dokonce nad celým životem. Zde metadivadelní prvky </w:t>
      </w:r>
      <w:r>
        <w:rPr>
          <w:rFonts w:ascii="Times New Roman" w:eastAsia="Times New Roman" w:hAnsi="Times New Roman" w:cs="Times New Roman"/>
          <w:i/>
          <w:iCs/>
        </w:rPr>
        <w:t>Hamleta</w:t>
      </w:r>
      <w:r>
        <w:rPr>
          <w:rFonts w:ascii="Times New Roman" w:eastAsia="Times New Roman" w:hAnsi="Times New Roman" w:cs="Times New Roman"/>
        </w:rPr>
        <w:t xml:space="preserve"> ovšem nekončí. Abel si představuje několik dalších postav dramatu jako dramatiky, každý z nich je akorát autorem jiného žánru: Claudius spisovatel melodramatu, Duch otce Hamletu alžbětinský dramatik, Polonius amatérský autor.</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 xml:space="preserve"> Abel se snaží ukázat, že za metadivadlo se dá považovat kromě </w:t>
      </w:r>
      <w:r>
        <w:rPr>
          <w:rFonts w:ascii="Times New Roman" w:eastAsia="Times New Roman" w:hAnsi="Times New Roman" w:cs="Times New Roman"/>
        </w:rPr>
        <w:lastRenderedPageBreak/>
        <w:t>nejčastěji používaného prvku, tedy hry ve hře, nebo divadla na divadle, také to, že postavy hledí na život divadelně.</w:t>
      </w:r>
    </w:p>
    <w:p w14:paraId="00000025"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Spojení předpony meta a divadla v Abelově knize může</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být částečně inspirováno Jakobsonovou statí </w:t>
      </w:r>
      <w:r>
        <w:rPr>
          <w:rFonts w:ascii="Times New Roman" w:eastAsia="Times New Roman" w:hAnsi="Times New Roman" w:cs="Times New Roman"/>
          <w:i/>
          <w:iCs/>
        </w:rPr>
        <w:t xml:space="preserve">Lingvistika a poetika </w:t>
      </w:r>
      <w:r>
        <w:rPr>
          <w:rFonts w:ascii="Times New Roman" w:eastAsia="Times New Roman" w:hAnsi="Times New Roman" w:cs="Times New Roman"/>
        </w:rPr>
        <w:t>(vyšla v roce 1958)</w:t>
      </w:r>
      <w:r>
        <w:rPr>
          <w:rFonts w:ascii="Times New Roman" w:eastAsia="Times New Roman" w:hAnsi="Times New Roman" w:cs="Times New Roman"/>
          <w:i/>
          <w:iCs/>
        </w:rPr>
        <w:t xml:space="preserve">, </w:t>
      </w:r>
      <w:r>
        <w:rPr>
          <w:rFonts w:ascii="Times New Roman" w:eastAsia="Times New Roman" w:hAnsi="Times New Roman" w:cs="Times New Roman"/>
        </w:rPr>
        <w:t>kde je popsáno šest jazykových funkcí, jednou z nich je metalingvistická funkce.</w:t>
      </w:r>
      <w:r>
        <w:rPr>
          <w:rFonts w:ascii="Times New Roman" w:eastAsia="Times New Roman" w:hAnsi="Times New Roman" w:cs="Times New Roman"/>
          <w:vertAlign w:val="superscript"/>
        </w:rPr>
        <w:footnoteReference w:id="8"/>
      </w:r>
      <w:r>
        <w:rPr>
          <w:rFonts w:ascii="Times New Roman" w:eastAsia="Times New Roman" w:hAnsi="Times New Roman" w:cs="Times New Roman"/>
        </w:rPr>
        <w:t xml:space="preserve"> Komplikací je, že Jakobson definuje metajazykovost takto</w:t>
      </w:r>
      <w:r w:rsidRPr="00E90288">
        <w:rPr>
          <w:rFonts w:ascii="Times New Roman" w:eastAsia="Times New Roman" w:hAnsi="Times New Roman" w:cs="Times New Roman"/>
        </w:rPr>
        <w:t>: „Kdykoli si mluvčí anebo adresát potřebují ověřit, zda užívají téhož kódu, řeč se soustředí na KÓD a plní METAJAZYKovou (tj. vysvětlivkovou – glossing) funkci.“</w:t>
      </w:r>
      <w:r>
        <w:rPr>
          <w:rFonts w:ascii="Times New Roman" w:eastAsia="Times New Roman" w:hAnsi="Times New Roman" w:cs="Times New Roman"/>
          <w:vertAlign w:val="superscript"/>
        </w:rPr>
        <w:footnoteReference w:id="9"/>
      </w:r>
      <w:r>
        <w:rPr>
          <w:rFonts w:ascii="Times New Roman" w:eastAsia="Times New Roman" w:hAnsi="Times New Roman" w:cs="Times New Roman"/>
          <w:i/>
          <w:iCs/>
        </w:rPr>
        <w:t xml:space="preserve"> </w:t>
      </w:r>
      <w:r>
        <w:rPr>
          <w:rFonts w:ascii="Times New Roman" w:eastAsia="Times New Roman" w:hAnsi="Times New Roman" w:cs="Times New Roman"/>
        </w:rPr>
        <w:t>U metadivadla se divákovo soustředění většinou nepřesouvá mimo divadlo, ale zaměřuje se na samotnou divadelnost. Z hlediska Jakobsonovy teorie spadá metadivadelnost spíše pod funkci poetickou.</w:t>
      </w:r>
      <w:r>
        <w:rPr>
          <w:rFonts w:ascii="Times New Roman" w:eastAsia="Times New Roman" w:hAnsi="Times New Roman" w:cs="Times New Roman"/>
          <w:vertAlign w:val="superscript"/>
        </w:rPr>
        <w:footnoteReference w:id="10"/>
      </w:r>
    </w:p>
    <w:p w14:paraId="00000026"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Na Abela reagují autoři v průběhu dalších desítek let, někteří se pokoušeli</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jeho teorii metadivadla rozvést a posunout dále, jiní poukazovali na její problémy. </w:t>
      </w:r>
      <w:r>
        <w:rPr>
          <w:rFonts w:ascii="Times New Roman" w:eastAsia="Times New Roman" w:hAnsi="Times New Roman" w:cs="Times New Roman"/>
          <w:color w:val="000000"/>
        </w:rPr>
        <w:t xml:space="preserve">V eseji od Rosenmeyer z roku 2002 </w:t>
      </w:r>
      <w:r>
        <w:rPr>
          <w:rFonts w:ascii="Times New Roman" w:eastAsia="Times New Roman" w:hAnsi="Times New Roman" w:cs="Times New Roman"/>
        </w:rPr>
        <w:t>je zjevná snaha shrnout diskurz následující po Abelovu textu.  Za obecně uznávanou definici udává:</w:t>
      </w:r>
      <w:r>
        <w:rPr>
          <w:rFonts w:ascii="Times New Roman" w:eastAsia="Times New Roman" w:hAnsi="Times New Roman" w:cs="Times New Roman"/>
          <w:i/>
          <w:iCs/>
        </w:rPr>
        <w:t xml:space="preserve"> </w:t>
      </w:r>
      <w:r w:rsidRPr="00E90288">
        <w:rPr>
          <w:rFonts w:ascii="Times New Roman" w:eastAsia="Times New Roman" w:hAnsi="Times New Roman" w:cs="Times New Roman"/>
        </w:rPr>
        <w:t>„Snad nejrozšířenější představou spojenou s metadivadlem je, že si uvědomuje svůj vlastní status fikce a provádí hermeneutickou analýzu sama sebe, že zkoumá, hodnotí nebo klade otázky ohledně sebe samé či tradice, v níž stojí, nebo že se zabývá divadlem jako celkem.“</w:t>
      </w:r>
      <w:r>
        <w:rPr>
          <w:rFonts w:ascii="Times New Roman" w:eastAsia="Times New Roman" w:hAnsi="Times New Roman" w:cs="Times New Roman"/>
          <w:vertAlign w:val="superscript"/>
        </w:rPr>
        <w:footnoteReference w:id="11"/>
      </w:r>
      <w:r>
        <w:rPr>
          <w:rFonts w:ascii="Times New Roman" w:eastAsia="Times New Roman" w:hAnsi="Times New Roman" w:cs="Times New Roman"/>
          <w:i/>
          <w:iCs/>
        </w:rPr>
        <w:t xml:space="preserve"> </w:t>
      </w:r>
      <w:r>
        <w:rPr>
          <w:rFonts w:ascii="Times New Roman" w:eastAsia="Times New Roman" w:hAnsi="Times New Roman" w:cs="Times New Roman"/>
        </w:rPr>
        <w:t>Metadivadlo je tedy do jisté míry komentářem sebe sama (komentářem divadla).</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 xml:space="preserve">  Dále se věnuje Rosenmeyer hercům, kteří mají náročný úkol, jejich role je dvojí. Musí jednak ukazovat výslednou postavu, rovněž představují i mezičlánek.</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 xml:space="preserve"> Podíváme-li se znovu na Hamleta, tak herec hrající Hamleta je běžná divadelní situace, herec hrající Hamleta, </w:t>
      </w:r>
      <w:r>
        <w:rPr>
          <w:rFonts w:ascii="Times New Roman" w:eastAsia="Times New Roman" w:hAnsi="Times New Roman" w:cs="Times New Roman"/>
        </w:rPr>
        <w:lastRenderedPageBreak/>
        <w:t>který hraje Hamleta šíleného je již metadivadlo. Dva články tohoto schématu si uvědomují svoji činnost, a to herec a Hamlet hrající.</w:t>
      </w:r>
    </w:p>
    <w:p w14:paraId="00000027"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V této ročníkové práci budu</w:t>
      </w:r>
      <w:r>
        <w:rPr>
          <w:rFonts w:ascii="Times New Roman" w:eastAsia="Times New Roman" w:hAnsi="Times New Roman" w:cs="Times New Roman"/>
          <w:color w:val="FF0000"/>
        </w:rPr>
        <w:t xml:space="preserve"> </w:t>
      </w:r>
      <w:r>
        <w:rPr>
          <w:rFonts w:ascii="Times New Roman" w:eastAsia="Times New Roman" w:hAnsi="Times New Roman" w:cs="Times New Roman"/>
        </w:rPr>
        <w:t>spíše používat metadivadelnost než metadivadlo, protože jde o širší pojem, který nezahrnuje představu samostatného žánru, jak ho načrtnul Abel, ale jde o samotný princip určitých divadelních postupů.</w:t>
      </w:r>
    </w:p>
    <w:p w14:paraId="00000028" w14:textId="77777777" w:rsidR="00313177" w:rsidRDefault="00000000">
      <w:pPr>
        <w:pStyle w:val="Nadpis1"/>
      </w:pPr>
      <w:bookmarkStart w:id="2" w:name="_Toc231503419"/>
      <w:r>
        <w:t>2. Jerzy Grotowski a chudé divadlo</w:t>
      </w:r>
      <w:bookmarkEnd w:id="2"/>
    </w:p>
    <w:p w14:paraId="00000029" w14:textId="77777777" w:rsidR="00313177" w:rsidRDefault="00000000">
      <w:pPr>
        <w:pStyle w:val="Nadpis2"/>
      </w:pPr>
      <w:bookmarkStart w:id="3" w:name="_Toc231503420"/>
      <w:r>
        <w:t>2. 1. Jerzy Grotowski</w:t>
      </w:r>
      <w:bookmarkEnd w:id="3"/>
    </w:p>
    <w:p w14:paraId="0000002A" w14:textId="7A56CBD6"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Jerzy Grotowski se narodil v roce 1933 v polském městě Rzeszów, studoval na Státní divadelní akademii v Krakově a Ruské akademii divadelního umění v Moskvě. </w:t>
      </w:r>
      <w:r w:rsidR="00E90288">
        <w:rPr>
          <w:rFonts w:ascii="Times New Roman" w:eastAsia="Times New Roman" w:hAnsi="Times New Roman" w:cs="Times New Roman"/>
        </w:rPr>
        <w:t>Společně s</w:t>
      </w:r>
      <w:r>
        <w:rPr>
          <w:rFonts w:ascii="Times New Roman" w:eastAsia="Times New Roman" w:hAnsi="Times New Roman" w:cs="Times New Roman"/>
        </w:rPr>
        <w:t> Ludwikem Flaszenem převzal správu nad Divadlem 13 řad v Opolí, v roce 1965 se divadlo přesunulo do Wrocławi a přejmenovalo se na Divadlo–laboratoř.</w:t>
      </w:r>
      <w:r>
        <w:rPr>
          <w:rFonts w:ascii="Times New Roman" w:eastAsia="Times New Roman" w:hAnsi="Times New Roman" w:cs="Times New Roman"/>
          <w:vertAlign w:val="superscript"/>
        </w:rPr>
        <w:footnoteReference w:id="14"/>
      </w:r>
    </w:p>
    <w:p w14:paraId="0000002B" w14:textId="727DDDDE" w:rsidR="00313177" w:rsidRPr="00E90288"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Zde do roku 1970 vytvořil několik světoznámých inscenací, </w:t>
      </w:r>
      <w:r>
        <w:rPr>
          <w:rFonts w:ascii="Times New Roman" w:eastAsia="Times New Roman" w:hAnsi="Times New Roman" w:cs="Times New Roman"/>
          <w:i/>
          <w:iCs/>
        </w:rPr>
        <w:t xml:space="preserve">Dr Fausta </w:t>
      </w:r>
      <w:r>
        <w:rPr>
          <w:rFonts w:ascii="Times New Roman" w:eastAsia="Times New Roman" w:hAnsi="Times New Roman" w:cs="Times New Roman"/>
        </w:rPr>
        <w:t xml:space="preserve">(23. dubna 1963) </w:t>
      </w:r>
      <w:r>
        <w:rPr>
          <w:rFonts w:ascii="Times New Roman" w:eastAsia="Times New Roman" w:hAnsi="Times New Roman" w:cs="Times New Roman"/>
          <w:i/>
          <w:iCs/>
        </w:rPr>
        <w:t>Vytrvalého prince</w:t>
      </w:r>
      <w:r>
        <w:rPr>
          <w:rFonts w:ascii="Times New Roman" w:eastAsia="Times New Roman" w:hAnsi="Times New Roman" w:cs="Times New Roman"/>
        </w:rPr>
        <w:t xml:space="preserve"> (20. dubna 1965</w:t>
      </w:r>
      <w:r>
        <w:rPr>
          <w:rFonts w:ascii="Times New Roman" w:eastAsia="Times New Roman" w:hAnsi="Times New Roman" w:cs="Times New Roman"/>
          <w:i/>
          <w:iCs/>
        </w:rPr>
        <w:t xml:space="preserve">), Apocalypisis cum figuris </w:t>
      </w:r>
      <w:r>
        <w:rPr>
          <w:rFonts w:ascii="Times New Roman" w:eastAsia="Times New Roman" w:hAnsi="Times New Roman" w:cs="Times New Roman"/>
        </w:rPr>
        <w:t xml:space="preserve">(11. února, 1969), a samotnou </w:t>
      </w:r>
      <w:r>
        <w:rPr>
          <w:rFonts w:ascii="Times New Roman" w:eastAsia="Times New Roman" w:hAnsi="Times New Roman" w:cs="Times New Roman"/>
          <w:i/>
          <w:iCs/>
        </w:rPr>
        <w:t>Akropoli</w:t>
      </w:r>
      <w:r>
        <w:rPr>
          <w:rFonts w:ascii="Times New Roman" w:eastAsia="Times New Roman" w:hAnsi="Times New Roman" w:cs="Times New Roman"/>
        </w:rPr>
        <w:t>.</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15"/>
      </w:r>
      <w:r>
        <w:rPr>
          <w:rFonts w:ascii="Times New Roman" w:eastAsia="Times New Roman" w:hAnsi="Times New Roman" w:cs="Times New Roman"/>
        </w:rPr>
        <w:t xml:space="preserve"> Výběr textů často sahal do minulosti, Grotowski se k tomu sám vyjádřil v rozhovoru s Eugeniem Barbou: </w:t>
      </w:r>
      <w:r w:rsidRPr="00E90288">
        <w:rPr>
          <w:rFonts w:ascii="Times New Roman" w:eastAsia="Times New Roman" w:hAnsi="Times New Roman" w:cs="Times New Roman"/>
        </w:rPr>
        <w:t>„I když často čerpáme z klasických textů, naše divadlo je současné v tom smyslu, že konfrontuje naše samotné kořeny s naším současným chováním a</w:t>
      </w:r>
      <w:r w:rsidR="006E3F77">
        <w:rPr>
          <w:rFonts w:ascii="Times New Roman" w:eastAsia="Times New Roman" w:hAnsi="Times New Roman" w:cs="Times New Roman"/>
        </w:rPr>
        <w:t> </w:t>
      </w:r>
      <w:r w:rsidRPr="00E90288">
        <w:rPr>
          <w:rFonts w:ascii="Times New Roman" w:eastAsia="Times New Roman" w:hAnsi="Times New Roman" w:cs="Times New Roman"/>
        </w:rPr>
        <w:t>stereotypy, a tímto způsobem nám ukazuje naši ‚současnost‘ v kontextu ‚minulosti‘</w:t>
      </w:r>
      <w:r w:rsidR="006E3F77">
        <w:rPr>
          <w:rFonts w:ascii="Times New Roman" w:eastAsia="Times New Roman" w:hAnsi="Times New Roman" w:cs="Times New Roman"/>
        </w:rPr>
        <w:t xml:space="preserve"> </w:t>
      </w:r>
      <w:r w:rsidRPr="00E90288">
        <w:rPr>
          <w:rFonts w:ascii="Times New Roman" w:eastAsia="Times New Roman" w:hAnsi="Times New Roman" w:cs="Times New Roman"/>
        </w:rPr>
        <w:t>a naši ‚minulost‘</w:t>
      </w:r>
      <w:r w:rsidR="006E3F77">
        <w:rPr>
          <w:rFonts w:ascii="Times New Roman" w:eastAsia="Times New Roman" w:hAnsi="Times New Roman" w:cs="Times New Roman"/>
        </w:rPr>
        <w:t xml:space="preserve"> </w:t>
      </w:r>
      <w:r w:rsidRPr="00E90288">
        <w:rPr>
          <w:rFonts w:ascii="Times New Roman" w:eastAsia="Times New Roman" w:hAnsi="Times New Roman" w:cs="Times New Roman"/>
        </w:rPr>
        <w:t xml:space="preserve">v kontextu ‚současnosti‘. I když toto divadlo používá elementární jazyk znaků </w:t>
      </w:r>
      <w:r w:rsidR="006E3F77" w:rsidRPr="00E90288">
        <w:rPr>
          <w:rFonts w:ascii="Times New Roman" w:eastAsia="Times New Roman" w:hAnsi="Times New Roman" w:cs="Times New Roman"/>
        </w:rPr>
        <w:t>a</w:t>
      </w:r>
      <w:r w:rsidR="006E3F77">
        <w:rPr>
          <w:rFonts w:ascii="Times New Roman" w:eastAsia="Times New Roman" w:hAnsi="Times New Roman" w:cs="Times New Roman"/>
        </w:rPr>
        <w:t> zvuků</w:t>
      </w:r>
      <w:r w:rsidRPr="00E90288">
        <w:rPr>
          <w:rFonts w:ascii="Times New Roman" w:eastAsia="Times New Roman" w:hAnsi="Times New Roman" w:cs="Times New Roman"/>
        </w:rPr>
        <w:t xml:space="preserve"> – srozumitelný nad rámec sémantické hodnoty slova, a to i pro člověka, který nerozumí jazyku, v němž je hra uváděna – musí být takové divadlo národním, neboť vychází z introspekce a z celku našeho společenského superega, které bylo formováno v konkrétním národním klimatu, a stalo se tak jeho nedílnou součástí.“</w:t>
      </w:r>
      <w:r w:rsidRPr="00E90288">
        <w:rPr>
          <w:rFonts w:ascii="Times New Roman" w:eastAsia="Times New Roman" w:hAnsi="Times New Roman" w:cs="Times New Roman"/>
          <w:vertAlign w:val="superscript"/>
        </w:rPr>
        <w:footnoteReference w:id="16"/>
      </w:r>
    </w:p>
    <w:p w14:paraId="0000002C"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V roce 1970 přesunul svůj profesní zájem na paradivadelní výzkum, zabýval se hraničními formami divadla. Roku 1985 se trvale přesunul do Itálie, kde založil ve městě Pontedera Workcenter Jerzyho Grotowského, tam také zemřel v roce 1999.</w:t>
      </w:r>
      <w:r>
        <w:rPr>
          <w:rFonts w:ascii="Times New Roman" w:eastAsia="Times New Roman" w:hAnsi="Times New Roman" w:cs="Times New Roman"/>
          <w:vertAlign w:val="superscript"/>
        </w:rPr>
        <w:footnoteReference w:id="17"/>
      </w:r>
    </w:p>
    <w:p w14:paraId="0000002D" w14:textId="5B3A9BD0" w:rsidR="00313177" w:rsidRPr="00782BBD" w:rsidRDefault="00000000">
      <w:pPr>
        <w:spacing w:line="360" w:lineRule="auto"/>
        <w:jc w:val="both"/>
        <w:rPr>
          <w:rFonts w:ascii="Times New Roman" w:eastAsia="Times New Roman" w:hAnsi="Times New Roman" w:cs="Times New Roman"/>
          <w:i/>
          <w:iCs/>
        </w:rPr>
      </w:pPr>
      <w:r>
        <w:rPr>
          <w:rFonts w:ascii="Times New Roman" w:eastAsia="Times New Roman" w:hAnsi="Times New Roman" w:cs="Times New Roman"/>
        </w:rPr>
        <w:tab/>
        <w:t xml:space="preserve">Grotowski byl významnou osobností pro další divadelní režiséry minulého století napříč Evropou (i USA). Již zmíněný Eugenio Barba u něj absolvoval několikaroční stáž. Peter Brook se podílel například na záznamu inscenace </w:t>
      </w:r>
      <w:r>
        <w:rPr>
          <w:rFonts w:ascii="Times New Roman" w:eastAsia="Times New Roman" w:hAnsi="Times New Roman" w:cs="Times New Roman"/>
          <w:i/>
          <w:iCs/>
        </w:rPr>
        <w:t xml:space="preserve">Akropolis </w:t>
      </w:r>
      <w:r>
        <w:rPr>
          <w:rFonts w:ascii="Times New Roman" w:eastAsia="Times New Roman" w:hAnsi="Times New Roman" w:cs="Times New Roman"/>
        </w:rPr>
        <w:t>a sepsal předmluvu ke knize sebraných spisů Grotowského a Flaszena s názvem</w:t>
      </w:r>
      <w:r>
        <w:rPr>
          <w:rFonts w:ascii="Times New Roman" w:eastAsia="Times New Roman" w:hAnsi="Times New Roman" w:cs="Times New Roman"/>
          <w:color w:val="00FF00"/>
        </w:rPr>
        <w:t xml:space="preserve"> </w:t>
      </w:r>
      <w:r w:rsidRPr="00E90288">
        <w:rPr>
          <w:rFonts w:ascii="Times New Roman" w:eastAsia="Times New Roman" w:hAnsi="Times New Roman" w:cs="Times New Roman"/>
          <w:i/>
          <w:iCs/>
        </w:rPr>
        <w:t>Towards a Poor Theatre</w:t>
      </w:r>
      <w:r w:rsidR="00E90288">
        <w:rPr>
          <w:rStyle w:val="Znakapoznpodarou"/>
          <w:rFonts w:ascii="Times New Roman" w:eastAsia="Times New Roman" w:hAnsi="Times New Roman" w:cs="Times New Roman"/>
          <w:i/>
          <w:iCs/>
        </w:rPr>
        <w:footnoteReference w:id="18"/>
      </w:r>
      <w:r>
        <w:rPr>
          <w:rFonts w:ascii="Times New Roman" w:eastAsia="Times New Roman" w:hAnsi="Times New Roman" w:cs="Times New Roman"/>
          <w:i/>
          <w:iCs/>
        </w:rPr>
        <w:t xml:space="preserve">. </w:t>
      </w:r>
      <w:r>
        <w:rPr>
          <w:rFonts w:ascii="Times New Roman" w:eastAsia="Times New Roman" w:hAnsi="Times New Roman" w:cs="Times New Roman"/>
        </w:rPr>
        <w:t xml:space="preserve">V tomto úvodu popisuje Grotowského jako druhého nejzásadnějšího režiséra po Stanislavském z hlediska výzkumu herectví: </w:t>
      </w:r>
      <w:r w:rsidR="00E90288" w:rsidRPr="00782BBD">
        <w:rPr>
          <w:rFonts w:ascii="Times New Roman" w:eastAsia="Times New Roman" w:hAnsi="Times New Roman" w:cs="Times New Roman"/>
        </w:rPr>
        <w:t>„</w:t>
      </w:r>
      <w:r w:rsidR="00782BBD" w:rsidRPr="00782BBD">
        <w:rPr>
          <w:rFonts w:ascii="Times New Roman" w:eastAsia="Times New Roman" w:hAnsi="Times New Roman" w:cs="Times New Roman"/>
        </w:rPr>
        <w:t>Protože nikdo jiný na světě, pokud je mi známo, se od dob Stanislavského nezabýval podstatou herectví, jeho fenoménem, jeho významem a povahou i vědou o jeho mentálních, fyzických a emocionálních procesech tak hluboce, a tak komplexně jako Grotowski. Své divadlo nazývá laboratoří. A skutečně jí je. Je centrem výzkumu. Je to možná jediné avantgardní divadlo, jehož chudoba nepředstavuje nevýhodu, kde nedostatek peněz neslouží jako omluva pro nedostatečné prostředky, které by automaticky znehodnotily experimenty. V Grotowského divadle, stejně jako ve všech skutečných laboratořích, jsou experimenty vědecky platné, protože jsou dodrženy základní podmínky. V jeho divadle panuje absolutní soustředění malé skupiny lidí a neomezený čas. Pokud vás tedy zajímají jeho poznatky, musíte jet do Polska.“</w:t>
      </w:r>
      <w:r w:rsidR="00255D49">
        <w:rPr>
          <w:rStyle w:val="Znakapoznpodarou"/>
          <w:rFonts w:ascii="Times New Roman" w:eastAsia="Times New Roman" w:hAnsi="Times New Roman" w:cs="Times New Roman"/>
        </w:rPr>
        <w:footnoteReference w:id="19"/>
      </w:r>
    </w:p>
    <w:p w14:paraId="0000002E" w14:textId="77777777" w:rsidR="00313177" w:rsidRDefault="00000000">
      <w:pPr>
        <w:pStyle w:val="Nadpis2"/>
      </w:pPr>
      <w:bookmarkStart w:id="4" w:name="_Toc231503421"/>
      <w:r>
        <w:lastRenderedPageBreak/>
        <w:t>2. 2. Chudé divadlo</w:t>
      </w:r>
      <w:bookmarkEnd w:id="4"/>
    </w:p>
    <w:p w14:paraId="0000002F" w14:textId="6C321522"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Postupem času se zformoval program Grotowského divadla, které nazval stručně jako „chudé“. Ve </w:t>
      </w:r>
      <w:r w:rsidR="00E90288">
        <w:rPr>
          <w:rFonts w:ascii="Times New Roman" w:eastAsia="Times New Roman" w:hAnsi="Times New Roman" w:cs="Times New Roman"/>
        </w:rPr>
        <w:t xml:space="preserve">stati </w:t>
      </w:r>
      <w:r w:rsidR="00255D49">
        <w:rPr>
          <w:rFonts w:ascii="Times New Roman" w:eastAsia="Times New Roman" w:hAnsi="Times New Roman" w:cs="Times New Roman"/>
          <w:i/>
          <w:iCs/>
        </w:rPr>
        <w:t>Towards a Poor Theatre</w:t>
      </w:r>
      <w:r>
        <w:rPr>
          <w:rFonts w:ascii="Times New Roman" w:eastAsia="Times New Roman" w:hAnsi="Times New Roman" w:cs="Times New Roman"/>
          <w:vertAlign w:val="superscript"/>
        </w:rPr>
        <w:footnoteReference w:id="20"/>
      </w:r>
      <w:r>
        <w:rPr>
          <w:rFonts w:ascii="Times New Roman" w:eastAsia="Times New Roman" w:hAnsi="Times New Roman" w:cs="Times New Roman"/>
        </w:rPr>
        <w:t xml:space="preserve"> definuje chudé divadlo v kontrastu s divadlem bohatým, které podle něj má kleptomanské sklony</w:t>
      </w:r>
      <w:r>
        <w:rPr>
          <w:rFonts w:ascii="Times New Roman" w:eastAsia="Times New Roman" w:hAnsi="Times New Roman" w:cs="Times New Roman"/>
          <w:vertAlign w:val="superscript"/>
        </w:rPr>
        <w:footnoteReference w:id="21"/>
      </w:r>
      <w:r>
        <w:rPr>
          <w:rFonts w:ascii="Times New Roman" w:eastAsia="Times New Roman" w:hAnsi="Times New Roman" w:cs="Times New Roman"/>
        </w:rPr>
        <w:t>. Chudé divadlo vzniklo z úvah o tom, co je pro divadlo esenciální, bez čeho se divadlo zvládne obejít.</w:t>
      </w:r>
      <w:r>
        <w:rPr>
          <w:rFonts w:ascii="Times New Roman" w:eastAsia="Times New Roman" w:hAnsi="Times New Roman" w:cs="Times New Roman"/>
          <w:vertAlign w:val="superscript"/>
        </w:rPr>
        <w:footnoteReference w:id="22"/>
      </w:r>
      <w:r>
        <w:rPr>
          <w:rFonts w:ascii="Times New Roman" w:eastAsia="Times New Roman" w:hAnsi="Times New Roman" w:cs="Times New Roman"/>
        </w:rPr>
        <w:t xml:space="preserve"> Grotowski ve svých úvahách dochází k tomu, že tím hlavním není výprava, zvuk a ani text, ale vztah herec—obecenstvo, které může být uspořádáno v nekonečně možných variantách. Za základní metodu pro práci s hercem považuje „via negativa“</w:t>
      </w:r>
      <w:r>
        <w:rPr>
          <w:rFonts w:ascii="Times New Roman" w:eastAsia="Times New Roman" w:hAnsi="Times New Roman" w:cs="Times New Roman"/>
          <w:vertAlign w:val="superscript"/>
        </w:rPr>
        <w:footnoteReference w:id="23"/>
      </w:r>
      <w:r>
        <w:rPr>
          <w:rFonts w:ascii="Times New Roman" w:eastAsia="Times New Roman" w:hAnsi="Times New Roman" w:cs="Times New Roman"/>
        </w:rPr>
        <w:t xml:space="preserve">, tedy nedat herci konkrétní nástroje pro vyjádření své postavy </w:t>
      </w:r>
      <w:r w:rsidR="00013DB7">
        <w:rPr>
          <w:rFonts w:ascii="Times New Roman" w:eastAsia="Times New Roman" w:hAnsi="Times New Roman" w:cs="Times New Roman"/>
        </w:rPr>
        <w:t>a situace</w:t>
      </w:r>
      <w:r>
        <w:rPr>
          <w:rFonts w:ascii="Times New Roman" w:eastAsia="Times New Roman" w:hAnsi="Times New Roman" w:cs="Times New Roman"/>
        </w:rPr>
        <w:t xml:space="preserve">, ale odstranit </w:t>
      </w:r>
      <w:r w:rsidRPr="00561049">
        <w:rPr>
          <w:rFonts w:ascii="Times New Roman" w:eastAsia="Times New Roman" w:hAnsi="Times New Roman" w:cs="Times New Roman"/>
        </w:rPr>
        <w:t>překážky pro vyjádření vnitřních impulzů, zrušit tak rozkol mezi vnitřkem a vnějškem entity herce</w:t>
      </w:r>
      <w:r w:rsidR="00013DB7">
        <w:rPr>
          <w:rFonts w:ascii="Times New Roman" w:eastAsia="Times New Roman" w:hAnsi="Times New Roman" w:cs="Times New Roman"/>
        </w:rPr>
        <w:t>.</w:t>
      </w:r>
      <w:r w:rsidRPr="00561049">
        <w:rPr>
          <w:rFonts w:ascii="Times New Roman" w:eastAsia="Times New Roman" w:hAnsi="Times New Roman" w:cs="Times New Roman"/>
        </w:rPr>
        <w:t xml:space="preserve"> Grotowski dává za příklad v rozhovoru s D. </w:t>
      </w:r>
      <w:r w:rsidR="00561049" w:rsidRPr="00561049">
        <w:rPr>
          <w:rFonts w:ascii="Times New Roman" w:eastAsia="Times New Roman" w:hAnsi="Times New Roman" w:cs="Times New Roman"/>
        </w:rPr>
        <w:t>B</w:t>
      </w:r>
      <w:r w:rsidRPr="00561049">
        <w:rPr>
          <w:rFonts w:ascii="Times New Roman" w:eastAsia="Times New Roman" w:hAnsi="Times New Roman" w:cs="Times New Roman"/>
        </w:rPr>
        <w:t>abletem práci s hercovým dýcháním, dle Grotowského není žádoucí naučit herce jednomu nejlepšímu druhu dýchání, ale nalézt nejpřirozenější formu pro daného herce a pomoci mu odstranit překážky, které mu zabraňují této formy dosáhnout.</w:t>
      </w:r>
      <w:r w:rsidR="00255D49">
        <w:rPr>
          <w:rStyle w:val="Znakapoznpodarou"/>
          <w:rFonts w:ascii="Times New Roman" w:eastAsia="Times New Roman" w:hAnsi="Times New Roman" w:cs="Times New Roman"/>
        </w:rPr>
        <w:footnoteReference w:id="24"/>
      </w:r>
      <w:r w:rsidR="00561049">
        <w:rPr>
          <w:rFonts w:ascii="Times New Roman" w:eastAsia="Times New Roman" w:hAnsi="Times New Roman" w:cs="Times New Roman"/>
        </w:rPr>
        <w:t xml:space="preserve"> </w:t>
      </w:r>
      <w:r>
        <w:rPr>
          <w:rFonts w:ascii="Times New Roman" w:eastAsia="Times New Roman" w:hAnsi="Times New Roman" w:cs="Times New Roman"/>
        </w:rPr>
        <w:t>Via negativa je základním kamenem Grotowského práce i v dalších složkách divadelní produkce, tedy i v práci s textem, či scénografii, nejzásadněji se projevuje ovšem na herectví.</w:t>
      </w:r>
    </w:p>
    <w:p w14:paraId="00000030" w14:textId="77777777" w:rsidR="0031317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Důležité je pro Grotowského snaha konfrontovat diváka s mýtem skrze herce. zpřístupnit mu tak obsah mýtů, který je pro člověka 20. století plného individualismu vzdálenější. K překonání této vzdálenosti má právě fungovat lidský organismus herce.</w:t>
      </w:r>
      <w:r>
        <w:rPr>
          <w:rFonts w:ascii="Times New Roman" w:eastAsia="Times New Roman" w:hAnsi="Times New Roman" w:cs="Times New Roman"/>
          <w:vertAlign w:val="superscript"/>
        </w:rPr>
        <w:footnoteReference w:id="25"/>
      </w:r>
    </w:p>
    <w:p w14:paraId="00000031" w14:textId="77777777" w:rsidR="00313177" w:rsidRDefault="00000000">
      <w:pPr>
        <w:pStyle w:val="Nadpis1"/>
        <w:rPr>
          <w:i/>
          <w:iCs/>
        </w:rPr>
      </w:pPr>
      <w:bookmarkStart w:id="5" w:name="_Toc231503422"/>
      <w:r>
        <w:rPr>
          <w:i/>
          <w:iCs/>
        </w:rPr>
        <w:lastRenderedPageBreak/>
        <w:t>3. Akropolis</w:t>
      </w:r>
      <w:bookmarkEnd w:id="5"/>
    </w:p>
    <w:p w14:paraId="00000032" w14:textId="77777777" w:rsidR="00313177" w:rsidRDefault="00000000">
      <w:pPr>
        <w:pStyle w:val="Nadpis2"/>
      </w:pPr>
      <w:bookmarkStart w:id="6" w:name="_Toc231503423"/>
      <w:r>
        <w:t xml:space="preserve">3. 1. Wyspiańského drama </w:t>
      </w:r>
      <w:r>
        <w:rPr>
          <w:i/>
          <w:iCs/>
        </w:rPr>
        <w:t>Akropolis</w:t>
      </w:r>
      <w:bookmarkEnd w:id="6"/>
    </w:p>
    <w:p w14:paraId="00000033" w14:textId="03BD0423"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Autorem </w:t>
      </w:r>
      <w:r>
        <w:rPr>
          <w:rFonts w:ascii="Times New Roman" w:eastAsia="Times New Roman" w:hAnsi="Times New Roman" w:cs="Times New Roman"/>
          <w:i/>
          <w:iCs/>
        </w:rPr>
        <w:t>Akropolis</w:t>
      </w:r>
      <w:r>
        <w:rPr>
          <w:rFonts w:ascii="Times New Roman" w:eastAsia="Times New Roman" w:hAnsi="Times New Roman" w:cs="Times New Roman"/>
        </w:rPr>
        <w:t xml:space="preserve"> (1904) je Stanislaw Wyspiański, polský básník a dramatik z přelomu 19. a</w:t>
      </w:r>
      <w:r w:rsidR="006E3F77">
        <w:rPr>
          <w:rFonts w:ascii="Times New Roman" w:eastAsia="Times New Roman" w:hAnsi="Times New Roman" w:cs="Times New Roman"/>
        </w:rPr>
        <w:t xml:space="preserve">  </w:t>
      </w:r>
      <w:r>
        <w:rPr>
          <w:rFonts w:ascii="Times New Roman" w:eastAsia="Times New Roman" w:hAnsi="Times New Roman" w:cs="Times New Roman"/>
        </w:rPr>
        <w:t>20. století, který stojí na pomezí romantismu a modernismu.</w:t>
      </w:r>
      <w:r>
        <w:rPr>
          <w:rFonts w:ascii="Times New Roman" w:eastAsia="Times New Roman" w:hAnsi="Times New Roman" w:cs="Times New Roman"/>
          <w:vertAlign w:val="superscript"/>
        </w:rPr>
        <w:footnoteReference w:id="26"/>
      </w:r>
      <w:r>
        <w:rPr>
          <w:rFonts w:ascii="Times New Roman" w:eastAsia="Times New Roman" w:hAnsi="Times New Roman" w:cs="Times New Roman"/>
        </w:rPr>
        <w:t xml:space="preserve"> Drama </w:t>
      </w:r>
      <w:r>
        <w:rPr>
          <w:rFonts w:ascii="Times New Roman" w:eastAsia="Times New Roman" w:hAnsi="Times New Roman" w:cs="Times New Roman"/>
          <w:i/>
          <w:iCs/>
        </w:rPr>
        <w:t>Akropolis</w:t>
      </w:r>
      <w:r>
        <w:rPr>
          <w:rFonts w:ascii="Times New Roman" w:eastAsia="Times New Roman" w:hAnsi="Times New Roman" w:cs="Times New Roman"/>
        </w:rPr>
        <w:t xml:space="preserve"> zasadil d</w:t>
      </w:r>
      <w:r w:rsidR="0064546A">
        <w:rPr>
          <w:rFonts w:ascii="Times New Roman" w:eastAsia="Times New Roman" w:hAnsi="Times New Roman" w:cs="Times New Roman"/>
        </w:rPr>
        <w:t>o</w:t>
      </w:r>
      <w:r>
        <w:rPr>
          <w:rFonts w:ascii="Times New Roman" w:eastAsia="Times New Roman" w:hAnsi="Times New Roman" w:cs="Times New Roman"/>
        </w:rPr>
        <w:t xml:space="preserve"> katedrály sv. Stanislava a Václava, jež je součástí komplexu krakovského hradu Wawel, což je historické sídlo polských králů, zároveň se pod ním nachází rozsáhlé katakomby, kde jsou pohřbeni všichni polští vladaři a také národní básník Adam Mickiewicz.</w:t>
      </w:r>
      <w:r>
        <w:rPr>
          <w:rFonts w:ascii="Times New Roman" w:eastAsia="Times New Roman" w:hAnsi="Times New Roman" w:cs="Times New Roman"/>
          <w:vertAlign w:val="superscript"/>
        </w:rPr>
        <w:footnoteReference w:id="27"/>
      </w:r>
      <w:r>
        <w:rPr>
          <w:rFonts w:ascii="Times New Roman" w:eastAsia="Times New Roman" w:hAnsi="Times New Roman" w:cs="Times New Roman"/>
        </w:rPr>
        <w:t xml:space="preserve"> Je potřeba připomenout, že Polsko bylo během života Wyspiańského stále rozděleno mezi Rakousko, Německo a Rusko, takže i z toho důvodu v něm můžeme nalézt tento silný motiv národního pohřebiště.</w:t>
      </w:r>
      <w:r>
        <w:rPr>
          <w:rFonts w:ascii="Times New Roman" w:eastAsia="Times New Roman" w:hAnsi="Times New Roman" w:cs="Times New Roman"/>
          <w:vertAlign w:val="superscript"/>
        </w:rPr>
        <w:footnoteReference w:id="28"/>
      </w:r>
      <w:r>
        <w:rPr>
          <w:rFonts w:ascii="Times New Roman" w:eastAsia="Times New Roman" w:hAnsi="Times New Roman" w:cs="Times New Roman"/>
        </w:rPr>
        <w:t xml:space="preserve"> Wyspiański zemřel krátce po sepsání Akropole v roce 1907</w:t>
      </w:r>
      <w:r w:rsidR="00013DB7">
        <w:rPr>
          <w:rFonts w:ascii="Times New Roman" w:eastAsia="Times New Roman" w:hAnsi="Times New Roman" w:cs="Times New Roman"/>
        </w:rPr>
        <w:t>. D</w:t>
      </w:r>
      <w:r>
        <w:rPr>
          <w:rFonts w:ascii="Times New Roman" w:eastAsia="Times New Roman" w:hAnsi="Times New Roman" w:cs="Times New Roman"/>
        </w:rPr>
        <w:t>ivadelní hra byla poprvé uvedena až v roce 1926.</w:t>
      </w:r>
      <w:r>
        <w:rPr>
          <w:rFonts w:ascii="Times New Roman" w:eastAsia="Times New Roman" w:hAnsi="Times New Roman" w:cs="Times New Roman"/>
          <w:vertAlign w:val="superscript"/>
        </w:rPr>
        <w:footnoteReference w:id="29"/>
      </w:r>
    </w:p>
    <w:p w14:paraId="00000034" w14:textId="77777777" w:rsidR="00313177" w:rsidRDefault="00000000">
      <w:pPr>
        <w:pStyle w:val="Nadpis2"/>
        <w:spacing w:line="360" w:lineRule="auto"/>
      </w:pPr>
      <w:bookmarkStart w:id="7" w:name="_Toc231503424"/>
      <w:r>
        <w:rPr>
          <w:i/>
          <w:iCs/>
        </w:rPr>
        <w:t xml:space="preserve">3. 2. </w:t>
      </w:r>
      <w:r>
        <w:t>Základní informace k</w:t>
      </w:r>
      <w:r>
        <w:rPr>
          <w:i/>
          <w:iCs/>
        </w:rPr>
        <w:t xml:space="preserve"> Akropolis</w:t>
      </w:r>
      <w:r>
        <w:t xml:space="preserve"> Jerzyho Grotowského</w:t>
      </w:r>
      <w:bookmarkEnd w:id="7"/>
    </w:p>
    <w:p w14:paraId="00000035" w14:textId="77777777" w:rsidR="00313177" w:rsidRDefault="00000000" w:rsidP="006E3F77">
      <w:pPr>
        <w:spacing w:line="360" w:lineRule="auto"/>
        <w:jc w:val="both"/>
        <w:rPr>
          <w:rFonts w:ascii="Times New Roman" w:eastAsia="Times New Roman" w:hAnsi="Times New Roman" w:cs="Times New Roman"/>
          <w:i/>
          <w:iCs/>
        </w:rPr>
      </w:pPr>
      <w:r>
        <w:rPr>
          <w:rFonts w:ascii="Times New Roman" w:eastAsia="Times New Roman" w:hAnsi="Times New Roman" w:cs="Times New Roman"/>
        </w:rPr>
        <w:t xml:space="preserve">Grotowského Divadlo Laboratoř uvedlo poprvé dramatizaci Wyspiańského hry </w:t>
      </w:r>
      <w:r>
        <w:rPr>
          <w:rFonts w:ascii="Times New Roman" w:eastAsia="Times New Roman" w:hAnsi="Times New Roman" w:cs="Times New Roman"/>
          <w:i/>
          <w:iCs/>
        </w:rPr>
        <w:t>Akropolis</w:t>
      </w:r>
      <w:r>
        <w:rPr>
          <w:rFonts w:ascii="Times New Roman" w:eastAsia="Times New Roman" w:hAnsi="Times New Roman" w:cs="Times New Roman"/>
        </w:rPr>
        <w:t xml:space="preserve"> 10. října 1962.</w:t>
      </w:r>
      <w:r>
        <w:rPr>
          <w:rFonts w:ascii="Times New Roman" w:eastAsia="Times New Roman" w:hAnsi="Times New Roman" w:cs="Times New Roman"/>
          <w:vertAlign w:val="superscript"/>
        </w:rPr>
        <w:footnoteReference w:id="30"/>
      </w:r>
      <w:r>
        <w:rPr>
          <w:rFonts w:ascii="Times New Roman" w:eastAsia="Times New Roman" w:hAnsi="Times New Roman" w:cs="Times New Roman"/>
        </w:rPr>
        <w:t xml:space="preserve"> Kromě Grotowského byl pro tvorbu inscenace zásadní Józef Szajna, který stál za scénografií v duchu chudého divadla: „Sál je prázdný, diváci se nacházejí na různých místech. Uprostřed sálu stojí bedna a na ní železné trubky. Ze zákulisí je slyšet hluk, skupina herců připomínajících vězně z Osvětimi nese těžké předměty do práce; vstupují dovnitř, míří do středu, postaví se po obou stranách bedny a pronášejí text klasického dramatu jako stížnost vězňů. Jeden z nich vystoupí na bednu a na železné trubky a začne na housle hrát dobře známou, veselou melodii, kterou hrával orchestr v Osvětimi.“</w:t>
      </w:r>
      <w:r>
        <w:rPr>
          <w:rFonts w:ascii="Times New Roman" w:eastAsia="Times New Roman" w:hAnsi="Times New Roman" w:cs="Times New Roman"/>
          <w:vertAlign w:val="superscript"/>
        </w:rPr>
        <w:footnoteReference w:id="31"/>
      </w:r>
    </w:p>
    <w:p w14:paraId="00000036" w14:textId="75E5EDB9"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První premiéra se odehrála ještě před odsunutím Divadla 13 řad z Opolí do Wrocławi. Během následujících let vzniklo celkem 5 verzí, druhá verze vznikla vzápětí 25. listopadu, tedy přibližně měsíc po první premiéře. Následovala varianta třetí z roku 1964 a z roku 1965, která byla již umístěna v novém divadelním prostoru ve Wrocławi. Nejznámější je až páté uvedení, které mělo premiéru 17. května 1967</w:t>
      </w:r>
      <w:r w:rsidR="00013DB7">
        <w:rPr>
          <w:rFonts w:ascii="Times New Roman" w:eastAsia="Times New Roman" w:hAnsi="Times New Roman" w:cs="Times New Roman"/>
        </w:rPr>
        <w:t>. T</w:t>
      </w:r>
      <w:r>
        <w:rPr>
          <w:rFonts w:ascii="Times New Roman" w:eastAsia="Times New Roman" w:hAnsi="Times New Roman" w:cs="Times New Roman"/>
        </w:rPr>
        <w:t>ato verze procestovala západní Evropu (města v Nizozemsku, Paříž, Brusel, Londýn, New York a další).</w:t>
      </w:r>
      <w:r>
        <w:rPr>
          <w:rFonts w:ascii="Times New Roman" w:eastAsia="Times New Roman" w:hAnsi="Times New Roman" w:cs="Times New Roman"/>
          <w:vertAlign w:val="superscript"/>
        </w:rPr>
        <w:footnoteReference w:id="32"/>
      </w:r>
    </w:p>
    <w:p w14:paraId="00000037" w14:textId="77777777"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 Herci se proměňovali v různých variantách inscenace, ve finální variantě byli v těchto rolích: Zygmunt Molik (jako Jákob, Hráč na harfu, Priam, Houslista), Rena Mirecka (jako Dívka ze Soltyského památníku, Rebecca a Kassandra), Antoni Jahołkowski (jako Anděl 2, Izák a Strážce), Ryszard Cieślak (jako Anděl 1, Ezau, Hektor), Zbigniew Cynktutis (jako Laban a Paris), Stanislaw Scireski (jako Lea, Kleió a Helena) a Andrej Paluchiewicz (Ráchel, Dáma ze Skotnického památníku, Hekabé).</w:t>
      </w:r>
      <w:r>
        <w:rPr>
          <w:rFonts w:ascii="Times New Roman" w:eastAsia="Times New Roman" w:hAnsi="Times New Roman" w:cs="Times New Roman"/>
          <w:vertAlign w:val="superscript"/>
        </w:rPr>
        <w:footnoteReference w:id="33"/>
      </w:r>
      <w:r>
        <w:rPr>
          <w:rFonts w:ascii="Times New Roman" w:eastAsia="Times New Roman" w:hAnsi="Times New Roman" w:cs="Times New Roman"/>
        </w:rPr>
        <w:t xml:space="preserve"> Asistentem režie se stal Eugenio Barba.</w:t>
      </w:r>
      <w:r>
        <w:rPr>
          <w:rFonts w:ascii="Times New Roman" w:eastAsia="Times New Roman" w:hAnsi="Times New Roman" w:cs="Times New Roman"/>
          <w:vertAlign w:val="superscript"/>
        </w:rPr>
        <w:footnoteReference w:id="34"/>
      </w:r>
    </w:p>
    <w:p w14:paraId="00000038" w14:textId="77777777" w:rsidR="00313177" w:rsidRDefault="00000000">
      <w:pPr>
        <w:pStyle w:val="Nadpis2"/>
        <w:spacing w:line="360" w:lineRule="auto"/>
      </w:pPr>
      <w:bookmarkStart w:id="8" w:name="_Toc231503425"/>
      <w:r>
        <w:t xml:space="preserve">3. 3. Srovnání dramatu a inscenace </w:t>
      </w:r>
      <w:r>
        <w:rPr>
          <w:i/>
          <w:iCs/>
        </w:rPr>
        <w:t>Akropolis</w:t>
      </w:r>
      <w:bookmarkEnd w:id="8"/>
    </w:p>
    <w:p w14:paraId="00000039" w14:textId="77777777"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Kostra děje zůstává přibližně podobná jako původní drama, Grotowski jeho strukturu zásadně nemění, stále se předvádí všechna čtyři jednání Akropole. Z hlediska promluv postav se ale text zásadně liší, je redukován na svou podstatu, události méně vysvětluje, zanechává diváka v nejistotě. Rozpadá se veršová struktura původního dramatu. I tak si však zachovává poetičnost, jazyk je akcentován částečně pro svou auditivní funkci, často dochází k opakování replik, separuje se tak v některých momentech význam od slova, jež se stává jen dalším zvukem</w:t>
      </w:r>
    </w:p>
    <w:p w14:paraId="0000003A" w14:textId="77777777" w:rsidR="0031317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Metaforickým režisérem celé inscenace se stává Houslista, který svou hudbou vždy na moment zastaví ostatní postavy a donutí je pracovat na stavbě objektu uprostřed jeviště. Jde o kremační pec v koncentračním táboře, jež se stává osudovou na konci inscenace. Jde o prvek, který Grotowski k textu přidává, funguje navíc jako předěl mezi jednotlivými výstupy a graduje napětí.</w:t>
      </w:r>
    </w:p>
    <w:p w14:paraId="0000003B"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Hned v prvním výstupu nám sdělují Andělé (Anděl 1 a Anděl 2), že jsme na hradě Wawel, během Noci zmrtvýchvstání a uvidíme tři mýtické rámce, příběh Jákoba a Ezaua, výjev z Trojské války a v závěru příchod Spasitele. V prvním dějství vystupují magické postavy z různých památníků roztroušených po katedrále na hradě Wawel jako Dáma ze Skotnického památníku, či Socha Lodzimierze Potockého. Další je například Kleió, jedna ze starořeckých múz, konkrétně tedy múza dějepisectví, je tak propojená s celým prvním dějstvím, které tématizuje polské dějiny, jež jsou dalšími výstupy zasazené do celkových dějin západního světa. Všechny zmíněné památky skutečně existují a jsou zachované dodnes. Grotowski se lehce vyvazuje z konkretizace dramatického textu a vypouští některé krakovské a polské reálie, nikoli však zcela důsledně a odkazy se několikrát objevují. Například při prologu je oznámeno, že postavy nesou rakev sv. Stanislava, krakovského biskupa žijícího v letech 1030 až 1079, zavražděného po konfliktu s polským králem Boleslavem II., který je pohřben na Wawelu. Kromě té přináší andělé také hadrovou loutku, představující Spasitele a zavěšují ji na jedno z lan v prostoru. Ty proplétají scénický prostor a dodávají scéně vertikální rozměr. Herci se mohou pohybovat nejen po zemi, ale pomocí rukou i po lanech.</w:t>
      </w:r>
    </w:p>
    <w:p w14:paraId="0000003C"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Jednou z výrazných změn oproti původní divadelní hře je prohození 2. a 3. dějství, první je tedy jednání s biblickou tématikou, poté následuje trojský mýtus. V originálním textu je to právě naopak.</w:t>
      </w:r>
    </w:p>
    <w:p w14:paraId="0000003D"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Jakobův příběh začíná, když se snaží podvést svého otce Izáka, aby požehnal jemu namísto prvorozenému synu Ezauovi, částečně pod vlivem své matky Rebeky. Z hlediska scénického provedení je Izák přesouván po jevišti, nejprve ho Jákob zavěšuje za jedno z lan do polohy podobné ukřižování, pak ho snímá Ezau, bere Izákovo tělo a vkládá ho do kolečka, které si zavěšuje na záda. Poté uniká pryč, protože mu Ezau slibuje pomstu. Uchyluje se k bratrovi Rebeky Labanovi, zde je vyložen Jakobův sen, kde se mu zjevuje Anděl. Jákob se zamilovává do Labanovy dcery Ráchel a pořádá se svatba. Ta vypadá následovně: herci obklopují loutku vytvořenou z dlouhé kovové roury (po hrací ploše je jich takto rozmístěno několik) ověnčenou poloprůhlednými závoji a nesou ji po prostoru. Postavy k tomu prozpěvují svatební písně. Tato loutka má zřejmě představovat Ráchel, nevěstu, vedoucí průvodu je Jákob. Závěrem události je položení loutky do kovové vany a Jákob ulehá k ní, právě tato vana na začátku představovala rakev sv. Stanislava. Jákob poté začíná hrát na housle, přestává být Jákobem a je znovu Houslistou.</w:t>
      </w:r>
    </w:p>
    <w:p w14:paraId="0000003E" w14:textId="5031D77D"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lastRenderedPageBreak/>
        <w:t>Poslední scénou spojenou s Jákobem je jeho boj s andělem, ten je pojat spíše dialogicky, kde se přou o božích záměrech a anděl zpochybňuje jeho jednání, anděl je umístněn stejně jako byl Izák ve scéně s Ezauem, tedy v kolečku opřeném o Jákobova záda, ten s ním pohybuje a</w:t>
      </w:r>
      <w:r w:rsidR="006E3F77">
        <w:rPr>
          <w:rFonts w:ascii="Times New Roman" w:eastAsia="Times New Roman" w:hAnsi="Times New Roman" w:cs="Times New Roman"/>
        </w:rPr>
        <w:t> </w:t>
      </w:r>
      <w:r>
        <w:rPr>
          <w:rFonts w:ascii="Times New Roman" w:eastAsia="Times New Roman" w:hAnsi="Times New Roman" w:cs="Times New Roman"/>
        </w:rPr>
        <w:t>vzhledem k tomu, že je anděl položený vzhůru nohama klepe jeho hlavou o zem. Tím končí druhé dějství.</w:t>
      </w:r>
    </w:p>
    <w:p w14:paraId="0000003F" w14:textId="4324CA0F" w:rsidR="00313177" w:rsidRDefault="00000000">
      <w:pPr>
        <w:spacing w:line="360" w:lineRule="auto"/>
        <w:ind w:firstLine="708"/>
        <w:jc w:val="both"/>
        <w:rPr>
          <w:rFonts w:ascii="Times New Roman" w:eastAsia="Times New Roman" w:hAnsi="Times New Roman" w:cs="Times New Roman"/>
          <w:b/>
          <w:bCs/>
        </w:rPr>
      </w:pPr>
      <w:r>
        <w:rPr>
          <w:rFonts w:ascii="Times New Roman" w:eastAsia="Times New Roman" w:hAnsi="Times New Roman" w:cs="Times New Roman"/>
        </w:rPr>
        <w:t xml:space="preserve">Mezi druhé a třetí je vložena jedna scéna, kdy všichni vězni hledí do zářícího slunce. Poté začíná třetí jednání tentokrát s trojskou tématikou. Vystupují zde postavy královské trojské rodiny hlavně tedy, Hektor, Paris, Priam, Hekabé a Kassandra, rovněž Helena a </w:t>
      </w:r>
      <w:r w:rsidR="00E90288">
        <w:rPr>
          <w:rFonts w:ascii="Times New Roman" w:eastAsia="Times New Roman" w:hAnsi="Times New Roman" w:cs="Times New Roman"/>
        </w:rPr>
        <w:t>Polyxena</w:t>
      </w:r>
      <w:r>
        <w:rPr>
          <w:rFonts w:ascii="Times New Roman" w:eastAsia="Times New Roman" w:hAnsi="Times New Roman" w:cs="Times New Roman"/>
        </w:rPr>
        <w:t>, a</w:t>
      </w:r>
      <w:r w:rsidR="006E3F77">
        <w:rPr>
          <w:rFonts w:ascii="Times New Roman" w:eastAsia="Times New Roman" w:hAnsi="Times New Roman" w:cs="Times New Roman"/>
        </w:rPr>
        <w:t> </w:t>
      </w:r>
      <w:r>
        <w:rPr>
          <w:rFonts w:ascii="Times New Roman" w:eastAsia="Times New Roman" w:hAnsi="Times New Roman" w:cs="Times New Roman"/>
        </w:rPr>
        <w:t>další bezejmenné postavy, strážce a páže.</w:t>
      </w:r>
    </w:p>
    <w:p w14:paraId="00000040"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Hlavním předmětem jednání je Hektorův osud, králův syn zvažuje, zda má jít do boje, události jsou zasazené do bodu, kdy Achilles na řecké straně odmítá bojovat. Tato část je více dialogická, zůstáváme víceméně ve stejném prostoru, trojském královském paláci, ani časově se zásadně nepřesouváme. Ve třetím jednání se také častěji zpívá, nejčastěji se zpěvákem stává právě Kassandra, která v závěru přechází se svým proroctvím do čtvrtého dějství inscenace </w:t>
      </w:r>
      <w:r>
        <w:rPr>
          <w:rFonts w:ascii="Times New Roman" w:eastAsia="Times New Roman" w:hAnsi="Times New Roman" w:cs="Times New Roman"/>
          <w:i/>
          <w:iCs/>
        </w:rPr>
        <w:t>Akropolis</w:t>
      </w:r>
      <w:r>
        <w:rPr>
          <w:rFonts w:ascii="Times New Roman" w:eastAsia="Times New Roman" w:hAnsi="Times New Roman" w:cs="Times New Roman"/>
        </w:rPr>
        <w:t>.</w:t>
      </w:r>
    </w:p>
    <w:p w14:paraId="00000041"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Co propojuje obě jednání je, že v obou částech sledujeme vztah rodiny, a to převážně nukleární rodiny, vztahy dětí a rodičů. Tématem je také prvorozenost, až do nedávna podstatný aspekt společenského statusu. Herectví se zde částečně proměňuje, herci často skrývají své ruce do pytloviny a přesouvají se jakoby bezruká stvoření. Jsou rovněž často zmíněna konkrétní místa v Krakově, například Zikmundova věž, která je ale postavami vnímána jako součást trojského opevnění, stírá se tak hranice mezi fikčními rovinami.</w:t>
      </w:r>
    </w:p>
    <w:p w14:paraId="00000042"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V závěru třetího jednání během Kassandřina prorokování zkázy Troji se přesouvají všechny ostatní postavy na dostavěnou imaginární pec. Spojuje se tak obraz dvojí destrukce, tedy té antické a mýtické s reálnou destrukcí holokaustu. Kassandra se krčí mezi ostatními, kteří se zdají už jako vyprázdněná těla bez pohybu ve strnulosti. Začíná zpívat píseň směřovanou k řece Visle, proplouvající Krakovem. Tento obraz je narušen, příchodem nových postav, harfisty a krále Davida a tím začíná poslední jednání.</w:t>
      </w:r>
    </w:p>
    <w:p w14:paraId="00000043" w14:textId="418B82D5"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Harfista zpívá píseň inspirovanou starozákonním příběhem o králi Davidovi a</w:t>
      </w:r>
      <w:r w:rsidR="006E3F77">
        <w:rPr>
          <w:rFonts w:ascii="Times New Roman" w:eastAsia="Times New Roman" w:hAnsi="Times New Roman" w:cs="Times New Roman"/>
        </w:rPr>
        <w:t> </w:t>
      </w:r>
      <w:r>
        <w:rPr>
          <w:rFonts w:ascii="Times New Roman" w:eastAsia="Times New Roman" w:hAnsi="Times New Roman" w:cs="Times New Roman"/>
        </w:rPr>
        <w:t xml:space="preserve">Goliášovi, k tomu se objevují reference na některé žalmy. Obrací se na řeku Jordán, v ten moment splývající s již zmíněnou Vislou, hranice mezi nimi je několikrát v promluvách setřena. Obě řeky propojuje významnost pro jednotlivé národy, v jednom případě pro polský </w:t>
      </w:r>
      <w:r>
        <w:rPr>
          <w:rFonts w:ascii="Times New Roman" w:eastAsia="Times New Roman" w:hAnsi="Times New Roman" w:cs="Times New Roman"/>
        </w:rPr>
        <w:lastRenderedPageBreak/>
        <w:t>národ v druhém pro židovský. Ostatní postavy se srocují a berou do rukou hadrovou loutku spasitele, která byla od začátku odložena na laně a odchází, zatímco zpívají mimo zrak diváků. V prostoru po nich nic nezůstává, herci se ani nevrací pro potlesk, diváci zůstávají osamoceni.</w:t>
      </w:r>
    </w:p>
    <w:p w14:paraId="00000044" w14:textId="77777777" w:rsidR="00313177" w:rsidRDefault="00000000">
      <w:pPr>
        <w:pStyle w:val="Nadpis2"/>
        <w:rPr>
          <w:i/>
          <w:iCs/>
        </w:rPr>
      </w:pPr>
      <w:bookmarkStart w:id="9" w:name="_Toc231503426"/>
      <w:r>
        <w:t xml:space="preserve">3. 4. Herectví </w:t>
      </w:r>
      <w:r>
        <w:rPr>
          <w:i/>
          <w:iCs/>
        </w:rPr>
        <w:t>Akropole</w:t>
      </w:r>
      <w:bookmarkEnd w:id="9"/>
    </w:p>
    <w:p w14:paraId="00000045" w14:textId="44B1F63E"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Herectví </w:t>
      </w:r>
      <w:r>
        <w:rPr>
          <w:rFonts w:ascii="Times New Roman" w:eastAsia="Times New Roman" w:hAnsi="Times New Roman" w:cs="Times New Roman"/>
          <w:i/>
          <w:iCs/>
        </w:rPr>
        <w:t>Akropole</w:t>
      </w:r>
      <w:r>
        <w:rPr>
          <w:rFonts w:ascii="Times New Roman" w:eastAsia="Times New Roman" w:hAnsi="Times New Roman" w:cs="Times New Roman"/>
        </w:rPr>
        <w:t xml:space="preserve"> je v souladu s Grotowského přístupem napříč jeho inscenacemi. Dobře se srovnává například s inscenací </w:t>
      </w:r>
      <w:r>
        <w:rPr>
          <w:rFonts w:ascii="Times New Roman" w:eastAsia="Times New Roman" w:hAnsi="Times New Roman" w:cs="Times New Roman"/>
          <w:i/>
          <w:iCs/>
        </w:rPr>
        <w:t xml:space="preserve">Vytrvalého prince, </w:t>
      </w:r>
      <w:r>
        <w:rPr>
          <w:rFonts w:ascii="Times New Roman" w:eastAsia="Times New Roman" w:hAnsi="Times New Roman" w:cs="Times New Roman"/>
        </w:rPr>
        <w:t>kde hrál i Ryszard Cieślak v hlavní roli prince.</w:t>
      </w:r>
      <w:r>
        <w:rPr>
          <w:rFonts w:ascii="Times New Roman" w:eastAsia="Times New Roman" w:hAnsi="Times New Roman" w:cs="Times New Roman"/>
          <w:vertAlign w:val="superscript"/>
        </w:rPr>
        <w:footnoteReference w:id="35"/>
      </w:r>
      <w:r>
        <w:rPr>
          <w:rFonts w:ascii="Times New Roman" w:eastAsia="Times New Roman" w:hAnsi="Times New Roman" w:cs="Times New Roman"/>
        </w:rPr>
        <w:t xml:space="preserve"> Herci používají každý možný sval v těle, zdají se částečně v mystickém vytržení, ovšem i přesto je jejich každý pohyb pečlivě promyšlený a naplánovaný, nic není nahodilé, od držení těla po každý výraz obličeje </w:t>
      </w:r>
      <w:r w:rsidR="00E90288">
        <w:rPr>
          <w:rFonts w:ascii="Times New Roman" w:eastAsia="Times New Roman" w:hAnsi="Times New Roman" w:cs="Times New Roman"/>
        </w:rPr>
        <w:t>či očí</w:t>
      </w:r>
      <w:r>
        <w:rPr>
          <w:rFonts w:ascii="Times New Roman" w:eastAsia="Times New Roman" w:hAnsi="Times New Roman" w:cs="Times New Roman"/>
        </w:rPr>
        <w:t>.</w:t>
      </w:r>
    </w:p>
    <w:p w14:paraId="00000046" w14:textId="3E09939C"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Je třeba zdůraznit, že Grotowski využíval při práci se svými herci již zmíněnou metodu „via negativa“, tedy nesnažil se jim předat konkrétní techniky, jak hrát, ale osvobodit je od nežádoucího. Další pohled, kterým se lze podívat na herectví v </w:t>
      </w:r>
      <w:r w:rsidR="00E90288">
        <w:rPr>
          <w:rFonts w:ascii="Times New Roman" w:eastAsia="Times New Roman" w:hAnsi="Times New Roman" w:cs="Times New Roman"/>
          <w:i/>
          <w:iCs/>
        </w:rPr>
        <w:t>Akropolis</w:t>
      </w:r>
      <w:r w:rsidR="00E90288">
        <w:rPr>
          <w:rFonts w:ascii="Times New Roman" w:eastAsia="Times New Roman" w:hAnsi="Times New Roman" w:cs="Times New Roman"/>
        </w:rPr>
        <w:t xml:space="preserve"> Kazimierz</w:t>
      </w:r>
      <w:r>
        <w:rPr>
          <w:rFonts w:ascii="Times New Roman" w:eastAsia="Times New Roman" w:hAnsi="Times New Roman" w:cs="Times New Roman"/>
        </w:rPr>
        <w:t xml:space="preserve"> Braun používá pro pojmenování tohoto typu herectví pojem vycházející z psychoanalýzy, tedy </w:t>
      </w:r>
      <w:r w:rsidR="00013DB7">
        <w:rPr>
          <w:rFonts w:ascii="Times New Roman" w:eastAsia="Times New Roman" w:hAnsi="Times New Roman" w:cs="Times New Roman"/>
        </w:rPr>
        <w:t>„</w:t>
      </w:r>
      <w:r>
        <w:rPr>
          <w:rFonts w:ascii="Times New Roman" w:eastAsia="Times New Roman" w:hAnsi="Times New Roman" w:cs="Times New Roman"/>
        </w:rPr>
        <w:t>herectví id</w:t>
      </w:r>
      <w:r w:rsidR="00013DB7">
        <w:rPr>
          <w:rFonts w:ascii="Times New Roman" w:eastAsia="Times New Roman" w:hAnsi="Times New Roman" w:cs="Times New Roman"/>
        </w:rPr>
        <w:t>“</w:t>
      </w:r>
      <w:r>
        <w:rPr>
          <w:rFonts w:ascii="Times New Roman" w:eastAsia="Times New Roman" w:hAnsi="Times New Roman" w:cs="Times New Roman"/>
        </w:rPr>
        <w:t xml:space="preserve">. Staví ho do opozice k </w:t>
      </w:r>
      <w:r w:rsidR="00013DB7">
        <w:rPr>
          <w:rFonts w:ascii="Times New Roman" w:eastAsia="Times New Roman" w:hAnsi="Times New Roman" w:cs="Times New Roman"/>
        </w:rPr>
        <w:t>„</w:t>
      </w:r>
      <w:r>
        <w:rPr>
          <w:rFonts w:ascii="Times New Roman" w:eastAsia="Times New Roman" w:hAnsi="Times New Roman" w:cs="Times New Roman"/>
        </w:rPr>
        <w:t>herectví superega</w:t>
      </w:r>
      <w:r w:rsidR="00013DB7">
        <w:rPr>
          <w:rFonts w:ascii="Times New Roman" w:eastAsia="Times New Roman" w:hAnsi="Times New Roman" w:cs="Times New Roman"/>
        </w:rPr>
        <w:t>“</w:t>
      </w:r>
      <w:r>
        <w:rPr>
          <w:rFonts w:ascii="Times New Roman" w:eastAsia="Times New Roman" w:hAnsi="Times New Roman" w:cs="Times New Roman"/>
        </w:rPr>
        <w:t xml:space="preserve">, které časově zařazuje před druhou divadelní reformu. Odlišnosti herectví id a superega popisuje Braun následovně: </w:t>
      </w:r>
      <w:r w:rsidR="00E90288" w:rsidRPr="00E90288">
        <w:rPr>
          <w:rFonts w:ascii="Times New Roman" w:eastAsia="Times New Roman" w:hAnsi="Times New Roman" w:cs="Times New Roman"/>
        </w:rPr>
        <w:t>„</w:t>
      </w:r>
      <w:r w:rsidRPr="00E90288">
        <w:rPr>
          <w:rFonts w:ascii="Times New Roman" w:eastAsia="Times New Roman" w:hAnsi="Times New Roman" w:cs="Times New Roman"/>
        </w:rPr>
        <w:t>Neboť herectví id těží materiál přímo z nitra člověka, živí se obsahy, jež vězí v něm samém, objektivizuje je a zvýznamňuje jeho osobní tajemství. Proces, který v tomto herectví probíhá, míří do nitra člověka, nikoliv mimo ně. Jestliže v herectví superega člověk překračuje své vlastní meze a přizpůsobuje se vzorům, modelům, představám, pak v herectví id člověk intenzifikuje, obohacuje a rozvíjí sám sebe.”</w:t>
      </w:r>
      <w:r w:rsidR="00E90288">
        <w:rPr>
          <w:rStyle w:val="Znakapoznpodarou"/>
          <w:rFonts w:ascii="Times New Roman" w:eastAsia="Times New Roman" w:hAnsi="Times New Roman" w:cs="Times New Roman"/>
        </w:rPr>
        <w:footnoteReference w:id="36"/>
      </w:r>
      <w:r w:rsidR="00E90288">
        <w:rPr>
          <w:rFonts w:ascii="Times New Roman" w:eastAsia="Times New Roman" w:hAnsi="Times New Roman" w:cs="Times New Roman"/>
          <w:i/>
          <w:iCs/>
        </w:rPr>
        <w:t xml:space="preserve"> </w:t>
      </w:r>
      <w:r>
        <w:rPr>
          <w:rFonts w:ascii="Times New Roman" w:eastAsia="Times New Roman" w:hAnsi="Times New Roman" w:cs="Times New Roman"/>
        </w:rPr>
        <w:t xml:space="preserve">Dalším rozdílem je například, že cílem </w:t>
      </w:r>
      <w:r w:rsidR="00E90288">
        <w:rPr>
          <w:rFonts w:ascii="Times New Roman" w:eastAsia="Times New Roman" w:hAnsi="Times New Roman" w:cs="Times New Roman"/>
        </w:rPr>
        <w:t>herectví id</w:t>
      </w:r>
      <w:r>
        <w:rPr>
          <w:rFonts w:ascii="Times New Roman" w:eastAsia="Times New Roman" w:hAnsi="Times New Roman" w:cs="Times New Roman"/>
        </w:rPr>
        <w:t xml:space="preserve"> není podmanit si diváka, ale brát ho jako partnera, který je samostatný a jedná individuálně. Braun to shrnuje takto: </w:t>
      </w:r>
      <w:r w:rsidR="00E90288" w:rsidRPr="00E90288">
        <w:rPr>
          <w:rFonts w:ascii="Times New Roman" w:eastAsia="Times New Roman" w:hAnsi="Times New Roman" w:cs="Times New Roman"/>
        </w:rPr>
        <w:t>„</w:t>
      </w:r>
      <w:r w:rsidRPr="00E90288">
        <w:rPr>
          <w:rFonts w:ascii="Times New Roman" w:eastAsia="Times New Roman" w:hAnsi="Times New Roman" w:cs="Times New Roman"/>
        </w:rPr>
        <w:t>Staré herectví bylo uměním vůdcovství. Nové je uměním bratrství.”</w:t>
      </w:r>
      <w:r w:rsidR="00E90288">
        <w:rPr>
          <w:rStyle w:val="Znakapoznpodarou"/>
          <w:rFonts w:ascii="Times New Roman" w:eastAsia="Times New Roman" w:hAnsi="Times New Roman" w:cs="Times New Roman"/>
        </w:rPr>
        <w:footnoteReference w:id="37"/>
      </w:r>
    </w:p>
    <w:p w14:paraId="00000047" w14:textId="482FF5EE"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V inscenaci </w:t>
      </w:r>
      <w:r>
        <w:rPr>
          <w:rFonts w:ascii="Times New Roman" w:eastAsia="Times New Roman" w:hAnsi="Times New Roman" w:cs="Times New Roman"/>
          <w:i/>
          <w:iCs/>
        </w:rPr>
        <w:t>Akropolis</w:t>
      </w:r>
      <w:r>
        <w:rPr>
          <w:rFonts w:ascii="Times New Roman" w:eastAsia="Times New Roman" w:hAnsi="Times New Roman" w:cs="Times New Roman"/>
        </w:rPr>
        <w:t xml:space="preserve"> přibývá další rovina z hlediska herectví. Herci hrají </w:t>
      </w:r>
      <w:r w:rsidR="00013DB7">
        <w:rPr>
          <w:rFonts w:ascii="Times New Roman" w:eastAsia="Times New Roman" w:hAnsi="Times New Roman" w:cs="Times New Roman"/>
        </w:rPr>
        <w:t>vězně</w:t>
      </w:r>
      <w:r>
        <w:rPr>
          <w:rFonts w:ascii="Times New Roman" w:eastAsia="Times New Roman" w:hAnsi="Times New Roman" w:cs="Times New Roman"/>
        </w:rPr>
        <w:t xml:space="preserve"> v</w:t>
      </w:r>
      <w:r w:rsidR="006E3F77">
        <w:rPr>
          <w:rFonts w:ascii="Times New Roman" w:eastAsia="Times New Roman" w:hAnsi="Times New Roman" w:cs="Times New Roman"/>
        </w:rPr>
        <w:t> </w:t>
      </w:r>
      <w:r>
        <w:rPr>
          <w:rFonts w:ascii="Times New Roman" w:eastAsia="Times New Roman" w:hAnsi="Times New Roman" w:cs="Times New Roman"/>
        </w:rPr>
        <w:t>koncentračním táboře (herce-vězně), kteří hrají postavy z</w:t>
      </w:r>
      <w:r w:rsidR="00013DB7">
        <w:rPr>
          <w:rFonts w:ascii="Times New Roman" w:eastAsia="Times New Roman" w:hAnsi="Times New Roman" w:cs="Times New Roman"/>
        </w:rPr>
        <w:t xml:space="preserve"> Wyspiańského </w:t>
      </w:r>
      <w:r>
        <w:rPr>
          <w:rFonts w:ascii="Times New Roman" w:eastAsia="Times New Roman" w:hAnsi="Times New Roman" w:cs="Times New Roman"/>
          <w:i/>
          <w:iCs/>
        </w:rPr>
        <w:t>Akropole</w:t>
      </w:r>
      <w:r>
        <w:t xml:space="preserve">. </w:t>
      </w:r>
      <w:r>
        <w:rPr>
          <w:rFonts w:ascii="Times New Roman" w:eastAsia="Times New Roman" w:hAnsi="Times New Roman" w:cs="Times New Roman"/>
        </w:rPr>
        <w:t xml:space="preserve">Mezi těmito dvěma polohami nejsou ostré hranice, lze pravděpodobně konstatovat, že nejkonzistněji dochází k navracení do role vězněných během pasážích při stavbě spalovací pece, jejich pohyby se stávají strojenější kontrolované mechanismem koncentračního tábora postaveného na </w:t>
      </w:r>
      <w:r>
        <w:rPr>
          <w:rFonts w:ascii="Times New Roman" w:eastAsia="Times New Roman" w:hAnsi="Times New Roman" w:cs="Times New Roman"/>
        </w:rPr>
        <w:lastRenderedPageBreak/>
        <w:t xml:space="preserve">strachu. Na druhou stranu právě když herci-vězni předvádějí </w:t>
      </w:r>
      <w:r>
        <w:rPr>
          <w:rFonts w:ascii="Times New Roman" w:eastAsia="Times New Roman" w:hAnsi="Times New Roman" w:cs="Times New Roman"/>
          <w:i/>
          <w:iCs/>
        </w:rPr>
        <w:t>Akropolis</w:t>
      </w:r>
      <w:r>
        <w:rPr>
          <w:rFonts w:ascii="Times New Roman" w:eastAsia="Times New Roman" w:hAnsi="Times New Roman" w:cs="Times New Roman"/>
        </w:rPr>
        <w:t xml:space="preserve"> nachází v ní únik před tímto tlakem a projevují se otevřeněji a svobodněji.</w:t>
      </w:r>
    </w:p>
    <w:p w14:paraId="00000048" w14:textId="22F60578"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Herci-vězni hrají vždy v jednotlivých výstupech jednu danou postavu, nedochází k</w:t>
      </w:r>
      <w:r w:rsidR="006E3F77">
        <w:rPr>
          <w:rFonts w:ascii="Times New Roman" w:eastAsia="Times New Roman" w:hAnsi="Times New Roman" w:cs="Times New Roman"/>
        </w:rPr>
        <w:t> </w:t>
      </w:r>
      <w:r>
        <w:rPr>
          <w:rFonts w:ascii="Times New Roman" w:eastAsia="Times New Roman" w:hAnsi="Times New Roman" w:cs="Times New Roman"/>
        </w:rPr>
        <w:t>tomu, že by jedna postava byla sdílena několika herci. Co se proměňuje, je obsazení napříč výstupy, a to nikoli podle jasného klíče, že by například postava otce (Priam a Izák) byla hrána stejným hercem. Herci-vězni, i když přecházejí mezi postavami, tak neztrácejí některé své základní rysy. Herec Jákoba, Molik, je zároveň houslistou a při výstupech jako jeden z praotců se nezbavuje ani smyčce, ani hudebního nástroje, neustále je svírá v rukách.</w:t>
      </w:r>
    </w:p>
    <w:p w14:paraId="00000049" w14:textId="540F9871"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Podle Grotowského dochází v momentu, kdy se sbíhají postavy kolem loutky Spasitele, k proměně herectví, a to následovně: „Když se onen akt děje, herec, lidská bytost, překračuje stav polovičatosti, k jaké se sami odsuzujeme v každodenním životě. Tehdy zaniká rozdíl mezi myšlením a cítěním, tělem a duší, vědomím a podvědomím, viděním a intuicí, sexem a</w:t>
      </w:r>
      <w:r w:rsidR="006E3F77">
        <w:rPr>
          <w:rFonts w:ascii="Times New Roman" w:eastAsia="Times New Roman" w:hAnsi="Times New Roman" w:cs="Times New Roman"/>
        </w:rPr>
        <w:t> </w:t>
      </w:r>
      <w:r>
        <w:rPr>
          <w:rFonts w:ascii="Times New Roman" w:eastAsia="Times New Roman" w:hAnsi="Times New Roman" w:cs="Times New Roman"/>
        </w:rPr>
        <w:t>mozkem; herec, který to podstupuje, dosahuje úplnosti.“</w:t>
      </w:r>
      <w:r>
        <w:rPr>
          <w:rFonts w:ascii="Times New Roman" w:eastAsia="Times New Roman" w:hAnsi="Times New Roman" w:cs="Times New Roman"/>
          <w:vertAlign w:val="superscript"/>
        </w:rPr>
        <w:footnoteReference w:id="38"/>
      </w:r>
    </w:p>
    <w:p w14:paraId="0000004A" w14:textId="77777777" w:rsidR="00313177" w:rsidRDefault="00000000">
      <w:pPr>
        <w:pStyle w:val="Nadpis2"/>
        <w:rPr>
          <w:i/>
          <w:iCs/>
        </w:rPr>
      </w:pPr>
      <w:bookmarkStart w:id="10" w:name="_Toc231503427"/>
      <w:r>
        <w:t xml:space="preserve">3. 5. Scénografie </w:t>
      </w:r>
      <w:r>
        <w:rPr>
          <w:i/>
          <w:iCs/>
        </w:rPr>
        <w:t>Akropole</w:t>
      </w:r>
      <w:bookmarkEnd w:id="10"/>
    </w:p>
    <w:p w14:paraId="0000004B" w14:textId="77777777"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Důležité je zmínit, že scénografie se pravděpodobně lišila v jistých bodech podle verze inscenace a podle místa uvedení. V záznamu z newyorského představení jsou diváci rozmístěny na několika místech po celém hracím prostoru, nelze tedy přímo rozdělit jeviště a hlediště, jde o prostor prostupný bez jasných hranic. Na několika místech v inscenaci se herci proplétají mezi židlemi, nijak však nedochází k přímé interakci diváka a herce, i když jsou oba subjekty v bezprostřední blízkosti. Diváci jsou postaveny do role pozorovatelů podivných mýtických událostí. Grotowski se ke svému přístupu zapojení diváka staví následovně: „Kdo zůstává pouze v situaci pozorovatele, je schopen se skutečně emočně podílet, protože v sobě může najít prastaré poslání diváka. Posláním diváka je pozorovat – ale i víc být svědkem.“</w:t>
      </w:r>
      <w:r>
        <w:rPr>
          <w:rFonts w:ascii="Times New Roman" w:eastAsia="Times New Roman" w:hAnsi="Times New Roman" w:cs="Times New Roman"/>
          <w:vertAlign w:val="superscript"/>
        </w:rPr>
        <w:footnoteReference w:id="39"/>
      </w:r>
    </w:p>
    <w:p w14:paraId="0000004C" w14:textId="4F17B94C" w:rsidR="00313177" w:rsidRDefault="00000000">
      <w:pPr>
        <w:spacing w:line="360" w:lineRule="auto"/>
        <w:ind w:firstLine="708"/>
        <w:jc w:val="both"/>
        <w:rPr>
          <w:rFonts w:ascii="Times New Roman" w:eastAsia="Times New Roman" w:hAnsi="Times New Roman" w:cs="Times New Roman"/>
          <w:highlight w:val="green"/>
        </w:rPr>
      </w:pPr>
      <w:r>
        <w:rPr>
          <w:rFonts w:ascii="Times New Roman" w:eastAsia="Times New Roman" w:hAnsi="Times New Roman" w:cs="Times New Roman"/>
        </w:rPr>
        <w:t>Kostýmy jsou pytle přizpůsobené délkou tělům herc</w:t>
      </w:r>
      <w:r w:rsidR="00013DB7">
        <w:rPr>
          <w:rFonts w:ascii="Times New Roman" w:eastAsia="Times New Roman" w:hAnsi="Times New Roman" w:cs="Times New Roman"/>
        </w:rPr>
        <w:t>ů</w:t>
      </w:r>
      <w:r>
        <w:rPr>
          <w:rFonts w:ascii="Times New Roman" w:eastAsia="Times New Roman" w:hAnsi="Times New Roman" w:cs="Times New Roman"/>
        </w:rPr>
        <w:t xml:space="preserve"> s</w:t>
      </w:r>
      <w:r w:rsidR="00013DB7">
        <w:rPr>
          <w:rFonts w:ascii="Times New Roman" w:eastAsia="Times New Roman" w:hAnsi="Times New Roman" w:cs="Times New Roman"/>
        </w:rPr>
        <w:t> </w:t>
      </w:r>
      <w:r>
        <w:rPr>
          <w:rFonts w:ascii="Times New Roman" w:eastAsia="Times New Roman" w:hAnsi="Times New Roman" w:cs="Times New Roman"/>
        </w:rPr>
        <w:t>vyst</w:t>
      </w:r>
      <w:r w:rsidR="00E90288">
        <w:rPr>
          <w:rFonts w:ascii="Times New Roman" w:eastAsia="Times New Roman" w:hAnsi="Times New Roman" w:cs="Times New Roman"/>
        </w:rPr>
        <w:t>ři</w:t>
      </w:r>
      <w:r>
        <w:rPr>
          <w:rFonts w:ascii="Times New Roman" w:eastAsia="Times New Roman" w:hAnsi="Times New Roman" w:cs="Times New Roman"/>
        </w:rPr>
        <w:t>ženými</w:t>
      </w:r>
      <w:r w:rsidR="00013DB7">
        <w:rPr>
          <w:rFonts w:ascii="Times New Roman" w:eastAsia="Times New Roman" w:hAnsi="Times New Roman" w:cs="Times New Roman"/>
        </w:rPr>
        <w:t xml:space="preserve"> otvory pro ruce</w:t>
      </w:r>
      <w:r>
        <w:rPr>
          <w:rFonts w:ascii="Times New Roman" w:eastAsia="Times New Roman" w:hAnsi="Times New Roman" w:cs="Times New Roman"/>
        </w:rPr>
        <w:t xml:space="preserve">, na některých místech jsou děravé či otrhané. Přes hlavu mají </w:t>
      </w:r>
      <w:r w:rsidR="00013DB7">
        <w:rPr>
          <w:rFonts w:ascii="Times New Roman" w:eastAsia="Times New Roman" w:hAnsi="Times New Roman" w:cs="Times New Roman"/>
        </w:rPr>
        <w:t>herci</w:t>
      </w:r>
      <w:r>
        <w:rPr>
          <w:rFonts w:ascii="Times New Roman" w:eastAsia="Times New Roman" w:hAnsi="Times New Roman" w:cs="Times New Roman"/>
        </w:rPr>
        <w:t xml:space="preserve"> pokrývku hlavy z tmavé látky, která jim částečně překrývá vlasy. Na nohách mají stejné těžké kožené boty. Oděv</w:t>
      </w:r>
      <w:r w:rsidR="00013DB7">
        <w:rPr>
          <w:rFonts w:ascii="Times New Roman" w:eastAsia="Times New Roman" w:hAnsi="Times New Roman" w:cs="Times New Roman"/>
        </w:rPr>
        <w:t>y</w:t>
      </w:r>
      <w:r>
        <w:rPr>
          <w:rFonts w:ascii="Times New Roman" w:eastAsia="Times New Roman" w:hAnsi="Times New Roman" w:cs="Times New Roman"/>
        </w:rPr>
        <w:t xml:space="preserve"> se příliš neliší, stírají se tak například genderové a fyzické rozdíly mezi herci. Zároveň se </w:t>
      </w:r>
      <w:r>
        <w:rPr>
          <w:rFonts w:ascii="Times New Roman" w:eastAsia="Times New Roman" w:hAnsi="Times New Roman" w:cs="Times New Roman"/>
        </w:rPr>
        <w:lastRenderedPageBreak/>
        <w:t xml:space="preserve">prohlubuje imerze do rámce inscenace z koncentračního </w:t>
      </w:r>
      <w:r w:rsidR="00E90288">
        <w:rPr>
          <w:rFonts w:ascii="Times New Roman" w:eastAsia="Times New Roman" w:hAnsi="Times New Roman" w:cs="Times New Roman"/>
        </w:rPr>
        <w:t>tábora</w:t>
      </w:r>
      <w:r>
        <w:rPr>
          <w:rFonts w:ascii="Times New Roman" w:eastAsia="Times New Roman" w:hAnsi="Times New Roman" w:cs="Times New Roman"/>
        </w:rPr>
        <w:t>, protože se kostýmy podobají něčemu, co by bylo k dispozici i v složitých podmínkách podobného prostředí.</w:t>
      </w:r>
      <w:r w:rsidR="00561049">
        <w:rPr>
          <w:rStyle w:val="Znakapoznpodarou"/>
          <w:rFonts w:ascii="Times New Roman" w:eastAsia="Times New Roman" w:hAnsi="Times New Roman" w:cs="Times New Roman"/>
        </w:rPr>
        <w:footnoteReference w:id="40"/>
      </w:r>
    </w:p>
    <w:p w14:paraId="0000004D" w14:textId="57D75AB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Scénografii tvoří industriáln</w:t>
      </w:r>
      <w:r w:rsidR="00013DB7">
        <w:rPr>
          <w:rFonts w:ascii="Times New Roman" w:eastAsia="Times New Roman" w:hAnsi="Times New Roman" w:cs="Times New Roman"/>
        </w:rPr>
        <w:t>í prvky</w:t>
      </w:r>
      <w:r>
        <w:rPr>
          <w:rFonts w:ascii="Times New Roman" w:eastAsia="Times New Roman" w:hAnsi="Times New Roman" w:cs="Times New Roman"/>
        </w:rPr>
        <w:t>,</w:t>
      </w:r>
      <w:r w:rsidR="00013DB7">
        <w:rPr>
          <w:rFonts w:ascii="Times New Roman" w:eastAsia="Times New Roman" w:hAnsi="Times New Roman" w:cs="Times New Roman"/>
        </w:rPr>
        <w:t xml:space="preserve"> například kovové potrubí a další harampádí, které vyplňuje hrací prostor.</w:t>
      </w:r>
      <w:r>
        <w:rPr>
          <w:rFonts w:ascii="Times New Roman" w:eastAsia="Times New Roman" w:hAnsi="Times New Roman" w:cs="Times New Roman"/>
        </w:rPr>
        <w:t xml:space="preserve"> </w:t>
      </w:r>
      <w:r w:rsidR="00013DB7">
        <w:rPr>
          <w:rFonts w:ascii="Times New Roman" w:eastAsia="Times New Roman" w:hAnsi="Times New Roman" w:cs="Times New Roman"/>
        </w:rPr>
        <w:t>Tyto scénografické prvky jsou</w:t>
      </w:r>
      <w:r>
        <w:rPr>
          <w:rFonts w:ascii="Times New Roman" w:eastAsia="Times New Roman" w:hAnsi="Times New Roman" w:cs="Times New Roman"/>
        </w:rPr>
        <w:t xml:space="preserve"> výrazně funkční, prostupuj</w:t>
      </w:r>
      <w:r w:rsidR="00013DB7">
        <w:rPr>
          <w:rFonts w:ascii="Times New Roman" w:eastAsia="Times New Roman" w:hAnsi="Times New Roman" w:cs="Times New Roman"/>
        </w:rPr>
        <w:t>í</w:t>
      </w:r>
      <w:r>
        <w:rPr>
          <w:rFonts w:ascii="Times New Roman" w:eastAsia="Times New Roman" w:hAnsi="Times New Roman" w:cs="Times New Roman"/>
        </w:rPr>
        <w:t xml:space="preserve"> napříč fabulačními rovinami. Jedním z takových prvků, který na sebe bere různé podoby, je zmíněná dlouhá kovová vana.  Nejprve připomíná rakev sv. Stanislava, následně se </w:t>
      </w:r>
      <w:r w:rsidR="00013DB7">
        <w:rPr>
          <w:rFonts w:ascii="Times New Roman" w:eastAsia="Times New Roman" w:hAnsi="Times New Roman" w:cs="Times New Roman"/>
        </w:rPr>
        <w:t xml:space="preserve">stává </w:t>
      </w:r>
      <w:r>
        <w:rPr>
          <w:rFonts w:ascii="Times New Roman" w:eastAsia="Times New Roman" w:hAnsi="Times New Roman" w:cs="Times New Roman"/>
        </w:rPr>
        <w:t xml:space="preserve">prostředkem pro komunikaci mezi postavou Kleió a Dívkou, v druhém dějství se stává svatebním ložem pro Jákoba a Ráchel. </w:t>
      </w:r>
      <w:r w:rsidR="00013DB7">
        <w:rPr>
          <w:rFonts w:ascii="Times New Roman" w:eastAsia="Times New Roman" w:hAnsi="Times New Roman" w:cs="Times New Roman"/>
        </w:rPr>
        <w:t>I</w:t>
      </w:r>
      <w:r>
        <w:rPr>
          <w:rFonts w:ascii="Times New Roman" w:eastAsia="Times New Roman" w:hAnsi="Times New Roman" w:cs="Times New Roman"/>
        </w:rPr>
        <w:t xml:space="preserve"> přes svůj reálný charakter rozpadajícího se industriálního prostoru s odkazy na koncentrační tábor, nabývá</w:t>
      </w:r>
      <w:r w:rsidR="00013DB7">
        <w:rPr>
          <w:rFonts w:ascii="Times New Roman" w:eastAsia="Times New Roman" w:hAnsi="Times New Roman" w:cs="Times New Roman"/>
        </w:rPr>
        <w:t xml:space="preserve"> scénografie</w:t>
      </w:r>
      <w:r>
        <w:rPr>
          <w:rFonts w:ascii="Times New Roman" w:eastAsia="Times New Roman" w:hAnsi="Times New Roman" w:cs="Times New Roman"/>
        </w:rPr>
        <w:t xml:space="preserve"> mnohovýznamovosti, zejména díky herecké manipulaci s danými objekty.</w:t>
      </w:r>
    </w:p>
    <w:p w14:paraId="0000004E" w14:textId="77777777" w:rsidR="00313177" w:rsidRDefault="00000000">
      <w:pPr>
        <w:spacing w:line="360" w:lineRule="auto"/>
        <w:ind w:firstLine="708"/>
        <w:jc w:val="both"/>
        <w:rPr>
          <w:rFonts w:ascii="Times New Roman" w:eastAsia="Times New Roman" w:hAnsi="Times New Roman" w:cs="Times New Roman"/>
          <w:i/>
          <w:iCs/>
        </w:rPr>
      </w:pPr>
      <w:r>
        <w:rPr>
          <w:rFonts w:ascii="Times New Roman" w:eastAsia="Times New Roman" w:hAnsi="Times New Roman" w:cs="Times New Roman"/>
        </w:rPr>
        <w:t>Celkovou stylizaci tedy lze popsat částečně jako realistickou a věrnou prostředí divadla v omezených podmínkách koncentračního tábora. Zároveň ovšem dochází díky oné jednoduchosti a strohosti prostředků k silnějšímu pocitu obecnosti a bezčasovosti.</w:t>
      </w:r>
    </w:p>
    <w:p w14:paraId="0000004F" w14:textId="77777777" w:rsidR="00313177" w:rsidRDefault="00000000">
      <w:pPr>
        <w:pStyle w:val="Nadpis2"/>
        <w:rPr>
          <w:i/>
          <w:iCs/>
        </w:rPr>
      </w:pPr>
      <w:bookmarkStart w:id="11" w:name="_Toc231503428"/>
      <w:r>
        <w:t xml:space="preserve">3. 6. Metadivadelnost </w:t>
      </w:r>
      <w:r>
        <w:rPr>
          <w:i/>
          <w:iCs/>
        </w:rPr>
        <w:t>Akropole</w:t>
      </w:r>
      <w:bookmarkEnd w:id="11"/>
    </w:p>
    <w:p w14:paraId="00000050" w14:textId="7BC0044E"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Inscenace je umístěna do metadivadelního rámce, jímž je koncentrační tábor, kde vězni hrají stejnojmennou Wyspiańského hru. V této hraniční lidské životní situaci vytvářejí herci-vězni další fikční svět zasazený na hrad Wawel během Noci zmrtvýchvstání. Zde se stávají herci-vězni duchy z polské historie, ze Starého Zákona a z antické mytologie, a přehrávají příběhy spojené s těmito postavami. Fikční prostor se tak proměňuje dále nejprve na biblickou Palestinu, pak do antické </w:t>
      </w:r>
      <w:r w:rsidR="00E90288">
        <w:rPr>
          <w:rFonts w:ascii="Times New Roman" w:eastAsia="Times New Roman" w:hAnsi="Times New Roman" w:cs="Times New Roman"/>
        </w:rPr>
        <w:t>Troje</w:t>
      </w:r>
      <w:r>
        <w:rPr>
          <w:rFonts w:ascii="Times New Roman" w:eastAsia="Times New Roman" w:hAnsi="Times New Roman" w:cs="Times New Roman"/>
        </w:rPr>
        <w:t xml:space="preserve">. Pro diváka pravděpodobně nedochází ke konkretizaci místa každého výstupu a spíše pro něj vzniká liminální prostor všeho zmíněného. </w:t>
      </w:r>
      <w:r w:rsidR="00E90288">
        <w:rPr>
          <w:rFonts w:ascii="Times New Roman" w:eastAsia="Times New Roman" w:hAnsi="Times New Roman" w:cs="Times New Roman"/>
        </w:rPr>
        <w:t>Wyspiańského</w:t>
      </w:r>
      <w:r>
        <w:rPr>
          <w:rFonts w:ascii="Times New Roman" w:eastAsia="Times New Roman" w:hAnsi="Times New Roman" w:cs="Times New Roman"/>
        </w:rPr>
        <w:t xml:space="preserve"> drama pro herce-vězně může představovat jakýsi únik před jejich bezvýchodnou realitou, během </w:t>
      </w:r>
      <w:r w:rsidR="00E90288">
        <w:rPr>
          <w:rFonts w:ascii="Times New Roman" w:eastAsia="Times New Roman" w:hAnsi="Times New Roman" w:cs="Times New Roman"/>
        </w:rPr>
        <w:t>toho,</w:t>
      </w:r>
      <w:r>
        <w:rPr>
          <w:rFonts w:ascii="Times New Roman" w:eastAsia="Times New Roman" w:hAnsi="Times New Roman" w:cs="Times New Roman"/>
        </w:rPr>
        <w:t xml:space="preserve"> co neperformují</w:t>
      </w:r>
      <w:r w:rsidR="00013DB7">
        <w:rPr>
          <w:rFonts w:ascii="Times New Roman" w:eastAsia="Times New Roman" w:hAnsi="Times New Roman" w:cs="Times New Roman"/>
        </w:rPr>
        <w:t>,</w:t>
      </w:r>
      <w:r>
        <w:rPr>
          <w:rFonts w:ascii="Times New Roman" w:eastAsia="Times New Roman" w:hAnsi="Times New Roman" w:cs="Times New Roman"/>
        </w:rPr>
        <w:t xml:space="preserve"> tak se vždy navrací ke zkáze představovanou budováním pece.</w:t>
      </w:r>
    </w:p>
    <w:p w14:paraId="00000051"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Pro rámec koncentračního tábora Grotowski také učinil několik změn, co se týče tematizace křesťanství. Většinu přímých odkazů vynechal, v originálním textu například chór zpívá o Panně Marii: </w:t>
      </w:r>
      <w:r>
        <w:rPr>
          <w:rFonts w:ascii="Times New Roman" w:eastAsia="Times New Roman" w:hAnsi="Times New Roman" w:cs="Times New Roman"/>
          <w:i/>
          <w:iCs/>
        </w:rPr>
        <w:t>„O virgin queen immaculate.“</w:t>
      </w:r>
      <w:r>
        <w:rPr>
          <w:rFonts w:ascii="Times New Roman" w:eastAsia="Times New Roman" w:hAnsi="Times New Roman" w:cs="Times New Roman"/>
          <w:vertAlign w:val="superscript"/>
        </w:rPr>
        <w:footnoteReference w:id="41"/>
      </w:r>
      <w:r>
        <w:rPr>
          <w:rFonts w:ascii="Times New Roman" w:eastAsia="Times New Roman" w:hAnsi="Times New Roman" w:cs="Times New Roman"/>
        </w:rPr>
        <w:t xml:space="preserve"> Inscenaci tyto reference chybí, jedním </w:t>
      </w:r>
      <w:r>
        <w:rPr>
          <w:rFonts w:ascii="Times New Roman" w:eastAsia="Times New Roman" w:hAnsi="Times New Roman" w:cs="Times New Roman"/>
        </w:rPr>
        <w:lastRenderedPageBreak/>
        <w:t>z důvodů může být, že v koncentračním táboře Osvětim byla hlavní populace tvořena Židy, dává tedy smysl silnější akcentace pohledu na spásu a spasitele skrze starozákonní pohled.</w:t>
      </w:r>
    </w:p>
    <w:p w14:paraId="00000052" w14:textId="1BDF99D5"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Rámec </w:t>
      </w:r>
      <w:r>
        <w:rPr>
          <w:rFonts w:ascii="Times New Roman" w:eastAsia="Times New Roman" w:hAnsi="Times New Roman" w:cs="Times New Roman"/>
          <w:i/>
          <w:iCs/>
        </w:rPr>
        <w:t>Akropolis</w:t>
      </w:r>
      <w:r>
        <w:rPr>
          <w:rFonts w:ascii="Times New Roman" w:eastAsia="Times New Roman" w:hAnsi="Times New Roman" w:cs="Times New Roman"/>
        </w:rPr>
        <w:t xml:space="preserve"> je jeho hlavním metadivadelním prvkem. Vezmeme-li v potaz </w:t>
      </w:r>
      <w:r w:rsidR="00E90288">
        <w:rPr>
          <w:rFonts w:ascii="Times New Roman" w:eastAsia="Times New Roman" w:hAnsi="Times New Roman" w:cs="Times New Roman"/>
        </w:rPr>
        <w:t>Abelovu</w:t>
      </w:r>
      <w:r>
        <w:rPr>
          <w:rFonts w:ascii="Times New Roman" w:eastAsia="Times New Roman" w:hAnsi="Times New Roman" w:cs="Times New Roman"/>
        </w:rPr>
        <w:t xml:space="preserve"> představu, že by postavy měly být introspektivní, měly by mít kritický náhled na svoje jednání, případně hledět na život divadelně, tak se </w:t>
      </w:r>
      <w:r>
        <w:rPr>
          <w:rFonts w:ascii="Times New Roman" w:eastAsia="Times New Roman" w:hAnsi="Times New Roman" w:cs="Times New Roman"/>
          <w:i/>
          <w:iCs/>
        </w:rPr>
        <w:t xml:space="preserve">Akropolis </w:t>
      </w:r>
      <w:r>
        <w:rPr>
          <w:rFonts w:ascii="Times New Roman" w:eastAsia="Times New Roman" w:hAnsi="Times New Roman" w:cs="Times New Roman"/>
        </w:rPr>
        <w:t xml:space="preserve">příliš metadivadelní nejeví. Pokud se na </w:t>
      </w:r>
      <w:r w:rsidR="00E90288">
        <w:rPr>
          <w:rFonts w:ascii="Times New Roman" w:eastAsia="Times New Roman" w:hAnsi="Times New Roman" w:cs="Times New Roman"/>
        </w:rPr>
        <w:t>metadivadelnost</w:t>
      </w:r>
      <w:r>
        <w:rPr>
          <w:rFonts w:ascii="Times New Roman" w:eastAsia="Times New Roman" w:hAnsi="Times New Roman" w:cs="Times New Roman"/>
        </w:rPr>
        <w:t xml:space="preserve"> podíváme šířeji a pojmeme ji jako vlastnost divadla reflektovat sebe samo, komentovat se a vykládat se, tak se otevírají různé možnosti interpretací. </w:t>
      </w:r>
      <w:r>
        <w:rPr>
          <w:rFonts w:ascii="Times New Roman" w:eastAsia="Times New Roman" w:hAnsi="Times New Roman" w:cs="Times New Roman"/>
          <w:i/>
          <w:iCs/>
        </w:rPr>
        <w:t>Akropolis</w:t>
      </w:r>
      <w:r>
        <w:rPr>
          <w:rFonts w:ascii="Times New Roman" w:eastAsia="Times New Roman" w:hAnsi="Times New Roman" w:cs="Times New Roman"/>
        </w:rPr>
        <w:t xml:space="preserve"> využívá svůj metadivadelní rámec jako řídící princip, na kterém staví své sdělení a</w:t>
      </w:r>
      <w:r w:rsidR="006E3F77">
        <w:rPr>
          <w:rFonts w:ascii="Times New Roman" w:eastAsia="Times New Roman" w:hAnsi="Times New Roman" w:cs="Times New Roman"/>
        </w:rPr>
        <w:t> </w:t>
      </w:r>
      <w:r>
        <w:rPr>
          <w:rFonts w:ascii="Times New Roman" w:eastAsia="Times New Roman" w:hAnsi="Times New Roman" w:cs="Times New Roman"/>
        </w:rPr>
        <w:t xml:space="preserve">Grotowského hlavní cíl, tedy </w:t>
      </w:r>
      <w:r w:rsidR="00E90288">
        <w:rPr>
          <w:rFonts w:ascii="Times New Roman" w:eastAsia="Times New Roman" w:hAnsi="Times New Roman" w:cs="Times New Roman"/>
        </w:rPr>
        <w:t>konfrontovat</w:t>
      </w:r>
      <w:r>
        <w:rPr>
          <w:rFonts w:ascii="Times New Roman" w:eastAsia="Times New Roman" w:hAnsi="Times New Roman" w:cs="Times New Roman"/>
        </w:rPr>
        <w:t xml:space="preserve"> diváka s mýtem, zároveň umožňuje propojení dvou minulostí, té blízké a mýtické.</w:t>
      </w:r>
    </w:p>
    <w:p w14:paraId="00000053" w14:textId="0BE2EDD8" w:rsidR="00313177" w:rsidRDefault="00000000">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V závěru inscenace, kdy odejdou postavy bez potlesku, nedochází k antiiluzivnímu vytržení běžného u děkovačky, </w:t>
      </w:r>
      <w:r w:rsidR="00013DB7">
        <w:rPr>
          <w:rFonts w:ascii="Times New Roman" w:eastAsia="Times New Roman" w:hAnsi="Times New Roman" w:cs="Times New Roman"/>
        </w:rPr>
        <w:t>během které klanící</w:t>
      </w:r>
      <w:r>
        <w:rPr>
          <w:rFonts w:ascii="Times New Roman" w:eastAsia="Times New Roman" w:hAnsi="Times New Roman" w:cs="Times New Roman"/>
        </w:rPr>
        <w:t xml:space="preserve"> herci </w:t>
      </w:r>
      <w:r w:rsidR="00013DB7">
        <w:rPr>
          <w:rFonts w:ascii="Times New Roman" w:eastAsia="Times New Roman" w:hAnsi="Times New Roman" w:cs="Times New Roman"/>
        </w:rPr>
        <w:t>vystupují</w:t>
      </w:r>
      <w:r>
        <w:rPr>
          <w:rFonts w:ascii="Times New Roman" w:eastAsia="Times New Roman" w:hAnsi="Times New Roman" w:cs="Times New Roman"/>
        </w:rPr>
        <w:t xml:space="preserve"> z rolí. Lze to vnímat jednak jako právě narušení divadelní konvence a jako komentář k divadelní tradic</w:t>
      </w:r>
      <w:r w:rsidR="00013DB7">
        <w:rPr>
          <w:rFonts w:ascii="Times New Roman" w:eastAsia="Times New Roman" w:hAnsi="Times New Roman" w:cs="Times New Roman"/>
        </w:rPr>
        <w:t>i</w:t>
      </w:r>
      <w:r>
        <w:rPr>
          <w:rFonts w:ascii="Times New Roman" w:eastAsia="Times New Roman" w:hAnsi="Times New Roman" w:cs="Times New Roman"/>
        </w:rPr>
        <w:t>, zároveň může jít ale o</w:t>
      </w:r>
      <w:r w:rsidR="006E3F77">
        <w:rPr>
          <w:rFonts w:ascii="Times New Roman" w:eastAsia="Times New Roman" w:hAnsi="Times New Roman" w:cs="Times New Roman"/>
        </w:rPr>
        <w:t> </w:t>
      </w:r>
      <w:r>
        <w:rPr>
          <w:rFonts w:ascii="Times New Roman" w:eastAsia="Times New Roman" w:hAnsi="Times New Roman" w:cs="Times New Roman"/>
        </w:rPr>
        <w:t>prohloubení významu zmizení a metaforické smrti všech postav, která se tak stává fatální, opravdovou.</w:t>
      </w:r>
    </w:p>
    <w:p w14:paraId="00000054" w14:textId="77777777" w:rsidR="00313177" w:rsidRDefault="00000000">
      <w:pPr>
        <w:pStyle w:val="Nadpis2"/>
      </w:pPr>
      <w:bookmarkStart w:id="12" w:name="_Toc231503429"/>
      <w:r>
        <w:t xml:space="preserve">3. 7. Kontext inscenace </w:t>
      </w:r>
      <w:r>
        <w:rPr>
          <w:i/>
          <w:iCs/>
        </w:rPr>
        <w:t>Akropole</w:t>
      </w:r>
      <w:r>
        <w:t xml:space="preserve"> v druhé divadelní reformě</w:t>
      </w:r>
      <w:bookmarkEnd w:id="12"/>
    </w:p>
    <w:p w14:paraId="00000055" w14:textId="77777777"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Jistým způsobem se na inscenaci </w:t>
      </w:r>
      <w:r>
        <w:rPr>
          <w:rFonts w:ascii="Times New Roman" w:eastAsia="Times New Roman" w:hAnsi="Times New Roman" w:cs="Times New Roman"/>
          <w:i/>
          <w:iCs/>
        </w:rPr>
        <w:t>Akropole</w:t>
      </w:r>
      <w:r>
        <w:rPr>
          <w:rFonts w:ascii="Times New Roman" w:eastAsia="Times New Roman" w:hAnsi="Times New Roman" w:cs="Times New Roman"/>
        </w:rPr>
        <w:t xml:space="preserve"> podíleli krom Grotowského další dva významní režiséři druhé divadelní reformy, jako asistent Eugenio Barba a na záznamu z newyorského představení spolupracoval Peter Brook. </w:t>
      </w:r>
      <w:r>
        <w:rPr>
          <w:rFonts w:ascii="Times New Roman" w:eastAsia="Times New Roman" w:hAnsi="Times New Roman" w:cs="Times New Roman"/>
          <w:i/>
          <w:iCs/>
        </w:rPr>
        <w:t>Akropole</w:t>
      </w:r>
      <w:r>
        <w:rPr>
          <w:rFonts w:ascii="Times New Roman" w:eastAsia="Times New Roman" w:hAnsi="Times New Roman" w:cs="Times New Roman"/>
        </w:rPr>
        <w:t xml:space="preserve"> je dále spojena s divadelním světem 60. a 70. let minulého století dále i motivicky, prostředí podobné vězení se objevuje například již v roce 1963 v inscenaci Living Theatru s názvem </w:t>
      </w:r>
      <w:r>
        <w:rPr>
          <w:rFonts w:ascii="Times New Roman" w:eastAsia="Times New Roman" w:hAnsi="Times New Roman" w:cs="Times New Roman"/>
          <w:i/>
          <w:iCs/>
        </w:rPr>
        <w:t>Brig</w:t>
      </w:r>
      <w:r>
        <w:rPr>
          <w:rFonts w:ascii="Times New Roman" w:eastAsia="Times New Roman" w:hAnsi="Times New Roman" w:cs="Times New Roman"/>
        </w:rPr>
        <w:t>, založené na dramatu Kennetha Browna.</w:t>
      </w:r>
      <w:r>
        <w:rPr>
          <w:rFonts w:ascii="Times New Roman" w:eastAsia="Times New Roman" w:hAnsi="Times New Roman" w:cs="Times New Roman"/>
          <w:vertAlign w:val="superscript"/>
        </w:rPr>
        <w:footnoteReference w:id="42"/>
      </w:r>
      <w:r>
        <w:rPr>
          <w:rFonts w:ascii="Times New Roman" w:eastAsia="Times New Roman" w:hAnsi="Times New Roman" w:cs="Times New Roman"/>
        </w:rPr>
        <w:t xml:space="preserve"> Další je právě inscenace Petera Brooka, podle divadelní hry Petra Weise, </w:t>
      </w:r>
      <w:r>
        <w:rPr>
          <w:rFonts w:ascii="Times New Roman" w:eastAsia="Times New Roman" w:hAnsi="Times New Roman" w:cs="Times New Roman"/>
          <w:i/>
          <w:iCs/>
        </w:rPr>
        <w:t>Marat-Sade</w:t>
      </w:r>
      <w:r>
        <w:rPr>
          <w:rFonts w:ascii="Times New Roman" w:eastAsia="Times New Roman" w:hAnsi="Times New Roman" w:cs="Times New Roman"/>
        </w:rPr>
        <w:t>.</w:t>
      </w:r>
      <w:r>
        <w:rPr>
          <w:rFonts w:ascii="Times New Roman" w:eastAsia="Times New Roman" w:hAnsi="Times New Roman" w:cs="Times New Roman"/>
          <w:vertAlign w:val="superscript"/>
        </w:rPr>
        <w:footnoteReference w:id="43"/>
      </w:r>
      <w:r>
        <w:rPr>
          <w:rFonts w:ascii="Times New Roman" w:eastAsia="Times New Roman" w:hAnsi="Times New Roman" w:cs="Times New Roman"/>
        </w:rPr>
        <w:t xml:space="preserve"> S tou je </w:t>
      </w:r>
      <w:r>
        <w:rPr>
          <w:rFonts w:ascii="Times New Roman" w:eastAsia="Times New Roman" w:hAnsi="Times New Roman" w:cs="Times New Roman"/>
          <w:i/>
          <w:iCs/>
        </w:rPr>
        <w:t>Akropole</w:t>
      </w:r>
      <w:r>
        <w:rPr>
          <w:rFonts w:ascii="Times New Roman" w:eastAsia="Times New Roman" w:hAnsi="Times New Roman" w:cs="Times New Roman"/>
        </w:rPr>
        <w:t xml:space="preserve"> propojena ještě úžeji. Tedy dramatickým rámcem </w:t>
      </w:r>
      <w:r>
        <w:rPr>
          <w:rFonts w:ascii="Times New Roman" w:eastAsia="Times New Roman" w:hAnsi="Times New Roman" w:cs="Times New Roman"/>
          <w:i/>
          <w:iCs/>
        </w:rPr>
        <w:t>Marata-Sade</w:t>
      </w:r>
      <w:r>
        <w:rPr>
          <w:rFonts w:ascii="Times New Roman" w:eastAsia="Times New Roman" w:hAnsi="Times New Roman" w:cs="Times New Roman"/>
        </w:rPr>
        <w:t xml:space="preserve"> je představení v psychiatrické léčebně v době napoleonských válek hrané chovanci ústavu, rekonstruující krvavé události Velké francouzské revoluce. Vypořádává se do jisté míry s myšlenkami osvícenství, jež vyústily v nový druh strukturálního násilí. I další Grotowského inscenace </w:t>
      </w:r>
      <w:r>
        <w:rPr>
          <w:rFonts w:ascii="Times New Roman" w:eastAsia="Times New Roman" w:hAnsi="Times New Roman" w:cs="Times New Roman"/>
          <w:i/>
          <w:iCs/>
        </w:rPr>
        <w:t xml:space="preserve">Kordian </w:t>
      </w:r>
      <w:r>
        <w:rPr>
          <w:rFonts w:ascii="Times New Roman" w:eastAsia="Times New Roman" w:hAnsi="Times New Roman" w:cs="Times New Roman"/>
        </w:rPr>
        <w:t xml:space="preserve">pracuje s podobným rámcem jako </w:t>
      </w:r>
      <w:r>
        <w:rPr>
          <w:rFonts w:ascii="Times New Roman" w:eastAsia="Times New Roman" w:hAnsi="Times New Roman" w:cs="Times New Roman"/>
          <w:i/>
          <w:iCs/>
        </w:rPr>
        <w:t xml:space="preserve">Marat-Sada, </w:t>
      </w:r>
      <w:r>
        <w:rPr>
          <w:rFonts w:ascii="Times New Roman" w:eastAsia="Times New Roman" w:hAnsi="Times New Roman" w:cs="Times New Roman"/>
        </w:rPr>
        <w:t>tedy psychiatrickou léčebnou.</w:t>
      </w:r>
      <w:r>
        <w:rPr>
          <w:rFonts w:ascii="Times New Roman" w:eastAsia="Times New Roman" w:hAnsi="Times New Roman" w:cs="Times New Roman"/>
          <w:vertAlign w:val="superscript"/>
        </w:rPr>
        <w:footnoteReference w:id="44"/>
      </w:r>
    </w:p>
    <w:p w14:paraId="00000056" w14:textId="77777777" w:rsidR="00313177" w:rsidRDefault="00000000">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i/>
          <w:iCs/>
        </w:rPr>
        <w:lastRenderedPageBreak/>
        <w:t>Akropole</w:t>
      </w:r>
      <w:r>
        <w:rPr>
          <w:rFonts w:ascii="Times New Roman" w:eastAsia="Times New Roman" w:hAnsi="Times New Roman" w:cs="Times New Roman"/>
        </w:rPr>
        <w:t xml:space="preserve"> jako by dopovídala tento příběh. Theodor Adorno a Max Horkheimer označují holokaust za jakousi finální fázi vývoje společnosti od osvícenství, vyústění celé západní společnosti.</w:t>
      </w:r>
      <w:r>
        <w:rPr>
          <w:rFonts w:ascii="Times New Roman" w:eastAsia="Times New Roman" w:hAnsi="Times New Roman" w:cs="Times New Roman"/>
          <w:vertAlign w:val="superscript"/>
        </w:rPr>
        <w:footnoteReference w:id="45"/>
      </w:r>
      <w:r>
        <w:rPr>
          <w:rFonts w:ascii="Times New Roman" w:eastAsia="Times New Roman" w:hAnsi="Times New Roman" w:cs="Times New Roman"/>
        </w:rPr>
        <w:t xml:space="preserve"> </w:t>
      </w:r>
      <w:r>
        <w:rPr>
          <w:rFonts w:ascii="Times New Roman" w:eastAsia="Times New Roman" w:hAnsi="Times New Roman" w:cs="Times New Roman"/>
          <w:i/>
          <w:iCs/>
        </w:rPr>
        <w:t>Akropolis</w:t>
      </w:r>
      <w:r>
        <w:rPr>
          <w:rFonts w:ascii="Times New Roman" w:eastAsia="Times New Roman" w:hAnsi="Times New Roman" w:cs="Times New Roman"/>
        </w:rPr>
        <w:t xml:space="preserve"> a prostor hradu Wawel, potažmo tedy Osvětim, se stávají symbolickým pohřebištěm nejen významných osobností polského národa, ale celých základů evropské kultury, jednak židovsko-křesťanské tradice představované výjevy spojenými s Jákobem, jednak antickou historii představovanou Trojskou částí. Začátek inscenace, kdy postavy říkají slova </w:t>
      </w:r>
      <w:r>
        <w:rPr>
          <w:rFonts w:ascii="Times New Roman" w:eastAsia="Times New Roman" w:hAnsi="Times New Roman" w:cs="Times New Roman"/>
          <w:i/>
          <w:iCs/>
        </w:rPr>
        <w:t>„Akropolis naše“</w:t>
      </w:r>
      <w:r>
        <w:rPr>
          <w:rFonts w:ascii="Times New Roman" w:eastAsia="Times New Roman" w:hAnsi="Times New Roman" w:cs="Times New Roman"/>
        </w:rPr>
        <w:t xml:space="preserve"> lze tedy chápat i takto, jde o naše pohřebiště ve smyslu celé civilizace.</w:t>
      </w:r>
    </w:p>
    <w:p w14:paraId="00000057" w14:textId="77777777" w:rsidR="00313177" w:rsidRDefault="00000000">
      <w:pPr>
        <w:rPr>
          <w:rFonts w:ascii="Times New Roman" w:eastAsia="Times New Roman" w:hAnsi="Times New Roman" w:cs="Times New Roman"/>
        </w:rPr>
      </w:pPr>
      <w:r>
        <w:br w:type="page"/>
      </w:r>
    </w:p>
    <w:p w14:paraId="00000058" w14:textId="77777777" w:rsidR="00313177" w:rsidRDefault="00000000">
      <w:pPr>
        <w:pStyle w:val="Nadpis1"/>
      </w:pPr>
      <w:bookmarkStart w:id="13" w:name="_Toc231503430"/>
      <w:r>
        <w:lastRenderedPageBreak/>
        <w:t>Závěr</w:t>
      </w:r>
      <w:bookmarkEnd w:id="13"/>
    </w:p>
    <w:p w14:paraId="00000059" w14:textId="2A264FAD"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Cílem této ročníkové práce bylo jednak popsat inscenaci Jerzyho Grotowského </w:t>
      </w:r>
      <w:r>
        <w:rPr>
          <w:rFonts w:ascii="Times New Roman" w:eastAsia="Times New Roman" w:hAnsi="Times New Roman" w:cs="Times New Roman"/>
          <w:i/>
          <w:iCs/>
        </w:rPr>
        <w:t>Akropolis</w:t>
      </w:r>
      <w:r>
        <w:rPr>
          <w:rFonts w:ascii="Times New Roman" w:eastAsia="Times New Roman" w:hAnsi="Times New Roman" w:cs="Times New Roman"/>
        </w:rPr>
        <w:t xml:space="preserve"> </w:t>
      </w:r>
      <w:r w:rsidR="006E3F77">
        <w:rPr>
          <w:rFonts w:ascii="Times New Roman" w:eastAsia="Times New Roman" w:hAnsi="Times New Roman" w:cs="Times New Roman"/>
        </w:rPr>
        <w:t>a vystihnout</w:t>
      </w:r>
      <w:r>
        <w:rPr>
          <w:rFonts w:ascii="Times New Roman" w:eastAsia="Times New Roman" w:hAnsi="Times New Roman" w:cs="Times New Roman"/>
        </w:rPr>
        <w:t xml:space="preserve">, jak je na ni možné nahlédnout skrze fenomén metadivadelnosti. Nejprve jsem se v práci věnoval definici pojmu metadivadelnost a následně Grotowského konceptu Chudého divadla. Samotná analýza inscenace </w:t>
      </w:r>
      <w:r>
        <w:rPr>
          <w:rFonts w:ascii="Times New Roman" w:eastAsia="Times New Roman" w:hAnsi="Times New Roman" w:cs="Times New Roman"/>
          <w:i/>
          <w:iCs/>
        </w:rPr>
        <w:t>Akropolis</w:t>
      </w:r>
      <w:r>
        <w:rPr>
          <w:rFonts w:ascii="Times New Roman" w:eastAsia="Times New Roman" w:hAnsi="Times New Roman" w:cs="Times New Roman"/>
        </w:rPr>
        <w:t xml:space="preserve"> byla postavena na pojmenování odlišností oproti originálnímu textu a zaměření se na práci s herci a scénografií.</w:t>
      </w:r>
    </w:p>
    <w:p w14:paraId="0000005A" w14:textId="3E4D876C" w:rsidR="00313177"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Koncept metadivadelnosti nám může poskytnou náhled do struktury inscenace </w:t>
      </w:r>
      <w:r>
        <w:rPr>
          <w:rFonts w:ascii="Times New Roman" w:eastAsia="Times New Roman" w:hAnsi="Times New Roman" w:cs="Times New Roman"/>
          <w:i/>
          <w:iCs/>
        </w:rPr>
        <w:t>Akropolis</w:t>
      </w:r>
      <w:r>
        <w:rPr>
          <w:rFonts w:ascii="Times New Roman" w:eastAsia="Times New Roman" w:hAnsi="Times New Roman" w:cs="Times New Roman"/>
        </w:rPr>
        <w:t>, ovšem není sám o sobě dostačují, protože jak bylo již pojmenováno, tak i přes svůj nezpochybnitelně metadivadelní rámec, divadla hraného vězněnými v Osvětimi, nenaplňuje některé další aspekty s metadivadelnosti spojené</w:t>
      </w:r>
      <w:r w:rsidR="00561049">
        <w:rPr>
          <w:rFonts w:ascii="Times New Roman" w:eastAsia="Times New Roman" w:hAnsi="Times New Roman" w:cs="Times New Roman"/>
        </w:rPr>
        <w:t>. Metadivadelnost slouží spíše jako prostředek k dosažení hlavního cíle, který lze nalézt</w:t>
      </w:r>
      <w:r>
        <w:rPr>
          <w:rFonts w:ascii="Times New Roman" w:eastAsia="Times New Roman" w:hAnsi="Times New Roman" w:cs="Times New Roman"/>
        </w:rPr>
        <w:t xml:space="preserve"> u většiny inscenací Grotowského</w:t>
      </w:r>
      <w:r w:rsidR="00561049">
        <w:rPr>
          <w:rFonts w:ascii="Times New Roman" w:eastAsia="Times New Roman" w:hAnsi="Times New Roman" w:cs="Times New Roman"/>
        </w:rPr>
        <w:t xml:space="preserve">, tedy </w:t>
      </w:r>
      <w:r>
        <w:rPr>
          <w:rFonts w:ascii="Times New Roman" w:eastAsia="Times New Roman" w:hAnsi="Times New Roman" w:cs="Times New Roman"/>
        </w:rPr>
        <w:t>konfrontovat diváka s </w:t>
      </w:r>
      <w:r w:rsidR="00561049">
        <w:rPr>
          <w:rFonts w:ascii="Times New Roman" w:eastAsia="Times New Roman" w:hAnsi="Times New Roman" w:cs="Times New Roman"/>
        </w:rPr>
        <w:t>mýtem,</w:t>
      </w:r>
      <w:r>
        <w:rPr>
          <w:rFonts w:ascii="Times New Roman" w:eastAsia="Times New Roman" w:hAnsi="Times New Roman" w:cs="Times New Roman"/>
        </w:rPr>
        <w:t xml:space="preserve"> a to především skrze hercovo tělo a herce samotného.</w:t>
      </w:r>
    </w:p>
    <w:p w14:paraId="0000005B" w14:textId="77777777" w:rsidR="00313177" w:rsidRDefault="00000000">
      <w:pPr>
        <w:rPr>
          <w:rFonts w:ascii="Times New Roman" w:eastAsia="Times New Roman" w:hAnsi="Times New Roman" w:cs="Times New Roman"/>
        </w:rPr>
      </w:pPr>
      <w:r>
        <w:br w:type="page"/>
      </w:r>
    </w:p>
    <w:p w14:paraId="0000005C" w14:textId="77777777" w:rsidR="00313177" w:rsidRPr="00F71EE6" w:rsidRDefault="00000000">
      <w:pPr>
        <w:pStyle w:val="Nadpis1"/>
      </w:pPr>
      <w:bookmarkStart w:id="14" w:name="_Toc231503431"/>
      <w:r w:rsidRPr="00F71EE6">
        <w:lastRenderedPageBreak/>
        <w:t>Seznam zdrojů:</w:t>
      </w:r>
      <w:bookmarkEnd w:id="14"/>
    </w:p>
    <w:p w14:paraId="0000005D"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ABEL, Lionel. </w:t>
      </w:r>
      <w:r w:rsidRPr="00F71EE6">
        <w:rPr>
          <w:rFonts w:ascii="Times New Roman" w:eastAsia="Times New Roman" w:hAnsi="Times New Roman" w:cs="Times New Roman"/>
          <w:i/>
          <w:iCs/>
        </w:rPr>
        <w:t>Metatheatre: A new view of dramatic form.</w:t>
      </w:r>
      <w:r w:rsidRPr="00F71EE6">
        <w:rPr>
          <w:rFonts w:ascii="Times New Roman" w:eastAsia="Times New Roman" w:hAnsi="Times New Roman" w:cs="Times New Roman"/>
        </w:rPr>
        <w:t xml:space="preserve"> New York: Hill and Wang, 1963.</w:t>
      </w:r>
    </w:p>
    <w:p w14:paraId="0000005E"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ADORNO, Theodor. </w:t>
      </w:r>
      <w:r w:rsidRPr="00F71EE6">
        <w:rPr>
          <w:rFonts w:ascii="Times New Roman" w:eastAsia="Times New Roman" w:hAnsi="Times New Roman" w:cs="Times New Roman"/>
          <w:i/>
          <w:iCs/>
        </w:rPr>
        <w:t>Dialektika osvícenství</w:t>
      </w:r>
      <w:r w:rsidRPr="00F71EE6">
        <w:rPr>
          <w:rFonts w:ascii="Times New Roman" w:eastAsia="Times New Roman" w:hAnsi="Times New Roman" w:cs="Times New Roman"/>
        </w:rPr>
        <w:t>. Praha: Oikoymenh, 2009.</w:t>
      </w:r>
    </w:p>
    <w:p w14:paraId="0000005F"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i/>
          <w:iCs/>
        </w:rPr>
        <w:t>Akropolis</w:t>
      </w:r>
      <w:r w:rsidRPr="00F71EE6">
        <w:rPr>
          <w:rFonts w:ascii="Times New Roman" w:eastAsia="Times New Roman" w:hAnsi="Times New Roman" w:cs="Times New Roman"/>
        </w:rPr>
        <w:t>. Online. GROTOWSKI.NET. 2022. Dostupné z: </w:t>
      </w:r>
      <w:hyperlink r:id="rId8">
        <w:r w:rsidR="00313177" w:rsidRPr="00F71EE6">
          <w:rPr>
            <w:rFonts w:ascii="Times New Roman" w:eastAsia="Times New Roman" w:hAnsi="Times New Roman" w:cs="Times New Roman"/>
            <w:u w:val="single"/>
          </w:rPr>
          <w:t>https://grotowski.net/en/encyclopedia/akropolis</w:t>
        </w:r>
      </w:hyperlink>
      <w:r w:rsidRPr="00F71EE6">
        <w:rPr>
          <w:rFonts w:ascii="Times New Roman" w:eastAsia="Times New Roman" w:hAnsi="Times New Roman" w:cs="Times New Roman"/>
        </w:rPr>
        <w:t>. [cit. 2026-04-03].</w:t>
      </w:r>
    </w:p>
    <w:p w14:paraId="00000060"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BARBA, Eugenio. BROOK, Peter. GROTOWSKI, Jerzy. </w:t>
      </w:r>
      <w:r w:rsidRPr="00F71EE6">
        <w:rPr>
          <w:rFonts w:ascii="Times New Roman" w:eastAsia="Times New Roman" w:hAnsi="Times New Roman" w:cs="Times New Roman"/>
          <w:i/>
          <w:iCs/>
        </w:rPr>
        <w:t xml:space="preserve">Towards a Poor Theatre. </w:t>
      </w:r>
      <w:r w:rsidRPr="00F71EE6">
        <w:rPr>
          <w:rFonts w:ascii="Times New Roman" w:eastAsia="Times New Roman" w:hAnsi="Times New Roman" w:cs="Times New Roman"/>
        </w:rPr>
        <w:t>Holstebro: </w:t>
      </w:r>
      <w:hyperlink r:id="rId9" w:anchor="!/records/f6501122-49f7-48ed-94be-274e3b1f8463">
        <w:r w:rsidR="00313177" w:rsidRPr="00F71EE6">
          <w:rPr>
            <w:rFonts w:ascii="Times New Roman" w:eastAsia="Times New Roman" w:hAnsi="Times New Roman" w:cs="Times New Roman"/>
          </w:rPr>
          <w:t>Odin Teatrets</w:t>
        </w:r>
      </w:hyperlink>
      <w:r w:rsidRPr="00F71EE6">
        <w:rPr>
          <w:rFonts w:ascii="Times New Roman" w:eastAsia="Times New Roman" w:hAnsi="Times New Roman" w:cs="Times New Roman"/>
        </w:rPr>
        <w:t>, 1968.</w:t>
      </w:r>
    </w:p>
    <w:p w14:paraId="00000061" w14:textId="48D5A555" w:rsidR="00313177" w:rsidRPr="00F71EE6" w:rsidRDefault="00000000">
      <w:pPr>
        <w:pBdr>
          <w:top w:val="nil"/>
          <w:left w:val="nil"/>
          <w:bottom w:val="nil"/>
          <w:right w:val="nil"/>
          <w:between w:val="nil"/>
        </w:pBdr>
        <w:spacing w:after="0" w:line="240" w:lineRule="auto"/>
        <w:rPr>
          <w:rFonts w:ascii="Times New Roman" w:eastAsia="Times New Roman" w:hAnsi="Times New Roman" w:cs="Times New Roman"/>
        </w:rPr>
      </w:pPr>
      <w:r w:rsidRPr="00F71EE6">
        <w:rPr>
          <w:rFonts w:ascii="Times New Roman" w:eastAsia="Times New Roman" w:hAnsi="Times New Roman" w:cs="Times New Roman"/>
        </w:rPr>
        <w:t>BRAUN, Kazimierz. Druhá divadelní reforma? Praha: Divadelní ústav</w:t>
      </w:r>
      <w:r w:rsidR="00E90288" w:rsidRPr="00F71EE6">
        <w:rPr>
          <w:rFonts w:ascii="Times New Roman" w:eastAsia="Times New Roman" w:hAnsi="Times New Roman" w:cs="Times New Roman"/>
        </w:rPr>
        <w:t>, 1993.</w:t>
      </w:r>
    </w:p>
    <w:p w14:paraId="00000062" w14:textId="77777777" w:rsidR="00313177" w:rsidRPr="00F71EE6" w:rsidRDefault="00313177">
      <w:pPr>
        <w:pBdr>
          <w:top w:val="nil"/>
          <w:left w:val="nil"/>
          <w:bottom w:val="nil"/>
          <w:right w:val="nil"/>
          <w:between w:val="nil"/>
        </w:pBdr>
        <w:spacing w:after="0" w:line="240" w:lineRule="auto"/>
        <w:rPr>
          <w:rFonts w:ascii="Times New Roman" w:eastAsia="Times New Roman" w:hAnsi="Times New Roman" w:cs="Times New Roman"/>
        </w:rPr>
      </w:pPr>
    </w:p>
    <w:p w14:paraId="00000063"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JAKOBSON, Roman. </w:t>
      </w:r>
      <w:r w:rsidRPr="00F71EE6">
        <w:rPr>
          <w:rFonts w:ascii="Times New Roman" w:eastAsia="Times New Roman" w:hAnsi="Times New Roman" w:cs="Times New Roman"/>
          <w:i/>
          <w:iCs/>
        </w:rPr>
        <w:t xml:space="preserve">Lingvistika a poetika. </w:t>
      </w:r>
      <w:r w:rsidRPr="00F71EE6">
        <w:rPr>
          <w:rFonts w:ascii="Times New Roman" w:eastAsia="Times New Roman" w:hAnsi="Times New Roman" w:cs="Times New Roman"/>
        </w:rPr>
        <w:t>Praha: H&amp;H, 1995.</w:t>
      </w:r>
    </w:p>
    <w:p w14:paraId="00000064" w14:textId="1A6B46BC" w:rsidR="00313177" w:rsidRPr="00F71EE6" w:rsidRDefault="00000000">
      <w:pPr>
        <w:spacing w:after="400" w:line="276" w:lineRule="auto"/>
        <w:jc w:val="both"/>
        <w:rPr>
          <w:rFonts w:ascii="Times New Roman" w:eastAsia="Times New Roman" w:hAnsi="Times New Roman" w:cs="Times New Roman"/>
          <w:i/>
          <w:iCs/>
        </w:rPr>
      </w:pPr>
      <w:r w:rsidRPr="00F71EE6">
        <w:rPr>
          <w:rFonts w:ascii="Times New Roman" w:eastAsia="Times New Roman" w:hAnsi="Times New Roman" w:cs="Times New Roman"/>
        </w:rPr>
        <w:t xml:space="preserve">GROTOWSKI, Jerzy. Divadlo a Rituál. </w:t>
      </w:r>
      <w:r w:rsidRPr="00F71EE6">
        <w:rPr>
          <w:rFonts w:ascii="Times New Roman" w:eastAsia="Times New Roman" w:hAnsi="Times New Roman" w:cs="Times New Roman"/>
          <w:i/>
          <w:iCs/>
        </w:rPr>
        <w:t>Svět a divadlo</w:t>
      </w:r>
      <w:r w:rsidRPr="00F71EE6">
        <w:rPr>
          <w:rFonts w:ascii="Times New Roman" w:eastAsia="Times New Roman" w:hAnsi="Times New Roman" w:cs="Times New Roman"/>
        </w:rPr>
        <w:t>, roč. 2</w:t>
      </w:r>
      <w:r w:rsidR="00013786" w:rsidRPr="00F71EE6">
        <w:rPr>
          <w:rFonts w:ascii="Times New Roman" w:eastAsia="Times New Roman" w:hAnsi="Times New Roman" w:cs="Times New Roman"/>
        </w:rPr>
        <w:t xml:space="preserve"> (1991)</w:t>
      </w:r>
      <w:r w:rsidRPr="00F71EE6">
        <w:rPr>
          <w:rFonts w:ascii="Times New Roman" w:eastAsia="Times New Roman" w:hAnsi="Times New Roman" w:cs="Times New Roman"/>
        </w:rPr>
        <w:t>, č. 9, str. 50–62.</w:t>
      </w:r>
      <w:r w:rsidRPr="00F71EE6">
        <w:rPr>
          <w:rFonts w:ascii="Times New Roman" w:eastAsia="Times New Roman" w:hAnsi="Times New Roman" w:cs="Times New Roman"/>
          <w:i/>
          <w:iCs/>
        </w:rPr>
        <w:t xml:space="preserve"> </w:t>
      </w:r>
    </w:p>
    <w:p w14:paraId="00000065"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i/>
          <w:iCs/>
        </w:rPr>
        <w:t>Jerzy Grotowski Acropolis.</w:t>
      </w:r>
      <w:r w:rsidRPr="00F71EE6">
        <w:rPr>
          <w:rFonts w:ascii="Times New Roman" w:eastAsia="Times New Roman" w:hAnsi="Times New Roman" w:cs="Times New Roman"/>
        </w:rPr>
        <w:t xml:space="preserve"> 1968. [filmový záznam inscenace]. Režie James MACTAGGART. USA, Cantor Films.</w:t>
      </w:r>
    </w:p>
    <w:p w14:paraId="00000066"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LEHMANN, Hans-Thies. </w:t>
      </w:r>
      <w:r w:rsidRPr="00F71EE6">
        <w:rPr>
          <w:rFonts w:ascii="Times New Roman" w:eastAsia="Times New Roman" w:hAnsi="Times New Roman" w:cs="Times New Roman"/>
          <w:i/>
          <w:iCs/>
        </w:rPr>
        <w:t>Postdramatické divadlo.</w:t>
      </w:r>
      <w:r w:rsidRPr="00F71EE6">
        <w:rPr>
          <w:rFonts w:ascii="Times New Roman" w:eastAsia="Times New Roman" w:hAnsi="Times New Roman" w:cs="Times New Roman"/>
        </w:rPr>
        <w:t xml:space="preserve"> Bratislava: Divadelní ústav, 2007.</w:t>
      </w:r>
    </w:p>
    <w:p w14:paraId="00000067"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KOSIŃSKI, Dariusz. </w:t>
      </w:r>
      <w:r w:rsidRPr="00F71EE6">
        <w:rPr>
          <w:rFonts w:ascii="Times New Roman" w:eastAsia="Times New Roman" w:hAnsi="Times New Roman" w:cs="Times New Roman"/>
          <w:i/>
          <w:iCs/>
        </w:rPr>
        <w:t>Akropolis</w:t>
      </w:r>
      <w:r w:rsidRPr="00F71EE6">
        <w:rPr>
          <w:rFonts w:ascii="Times New Roman" w:eastAsia="Times New Roman" w:hAnsi="Times New Roman" w:cs="Times New Roman"/>
        </w:rPr>
        <w:t xml:space="preserve">. Online. Encyklopedia teatru polskiego. 2017. Dostupné z: </w:t>
      </w:r>
      <w:hyperlink r:id="rId10">
        <w:r w:rsidR="00313177" w:rsidRPr="00F71EE6">
          <w:rPr>
            <w:rFonts w:ascii="Times New Roman" w:eastAsia="Times New Roman" w:hAnsi="Times New Roman" w:cs="Times New Roman"/>
            <w:u w:val="single"/>
          </w:rPr>
          <w:t>https://encyklopediateatru.pl/przedstawienie/7180/akropolis</w:t>
        </w:r>
      </w:hyperlink>
      <w:r w:rsidRPr="00F71EE6">
        <w:rPr>
          <w:rFonts w:ascii="Times New Roman" w:eastAsia="Times New Roman" w:hAnsi="Times New Roman" w:cs="Times New Roman"/>
        </w:rPr>
        <w:t>. [citováno 2026-04-03]</w:t>
      </w:r>
    </w:p>
    <w:p w14:paraId="00000068"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KOSIŃSKI, Dariusz. </w:t>
      </w:r>
      <w:r w:rsidRPr="00F71EE6">
        <w:rPr>
          <w:rFonts w:ascii="Times New Roman" w:eastAsia="Times New Roman" w:hAnsi="Times New Roman" w:cs="Times New Roman"/>
          <w:i/>
          <w:iCs/>
        </w:rPr>
        <w:t>Jerzy Grotowski</w:t>
      </w:r>
      <w:r w:rsidRPr="00F71EE6">
        <w:rPr>
          <w:rFonts w:ascii="Times New Roman" w:eastAsia="Times New Roman" w:hAnsi="Times New Roman" w:cs="Times New Roman"/>
        </w:rPr>
        <w:t xml:space="preserve">. Online. Encyklopedia teatru polskiego. 2017. Dostupné z: </w:t>
      </w:r>
      <w:hyperlink r:id="rId11">
        <w:r w:rsidR="00313177" w:rsidRPr="00F71EE6">
          <w:rPr>
            <w:rFonts w:ascii="Times New Roman" w:eastAsia="Times New Roman" w:hAnsi="Times New Roman" w:cs="Times New Roman"/>
            <w:u w:val="single"/>
          </w:rPr>
          <w:t>https://encyklopediateatru.pl/osoby/10275/jerzy-grotowski</w:t>
        </w:r>
      </w:hyperlink>
      <w:r w:rsidRPr="00F71EE6">
        <w:rPr>
          <w:rFonts w:ascii="Times New Roman" w:eastAsia="Times New Roman" w:hAnsi="Times New Roman" w:cs="Times New Roman"/>
        </w:rPr>
        <w:t>. [citováno 2026-04-03]</w:t>
      </w:r>
    </w:p>
    <w:p w14:paraId="00000069" w14:textId="4919DF33"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PEREZ-SIMÓN, Andrés. (2011). </w:t>
      </w:r>
      <w:r w:rsidRPr="00F71EE6">
        <w:rPr>
          <w:rFonts w:ascii="Times New Roman" w:eastAsia="Times New Roman" w:hAnsi="Times New Roman" w:cs="Times New Roman"/>
          <w:i/>
          <w:iCs/>
        </w:rPr>
        <w:t>The concept of metatheatre: A functional Approach.</w:t>
      </w:r>
      <w:r w:rsidRPr="00F71EE6">
        <w:rPr>
          <w:rFonts w:ascii="Times New Roman" w:eastAsia="Times New Roman" w:hAnsi="Times New Roman" w:cs="Times New Roman"/>
        </w:rPr>
        <w:t xml:space="preserve"> Online. Trans – revue de littérature générale et comparée, </w:t>
      </w:r>
      <w:r w:rsidR="00150910" w:rsidRPr="00F71EE6">
        <w:rPr>
          <w:rFonts w:ascii="Times New Roman" w:eastAsia="Times New Roman" w:hAnsi="Times New Roman" w:cs="Times New Roman"/>
        </w:rPr>
        <w:t>roč. 7</w:t>
      </w:r>
      <w:r w:rsidRPr="00F71EE6">
        <w:rPr>
          <w:rFonts w:ascii="Times New Roman" w:eastAsia="Times New Roman" w:hAnsi="Times New Roman" w:cs="Times New Roman"/>
        </w:rPr>
        <w:t xml:space="preserve"> </w:t>
      </w:r>
      <w:r w:rsidR="00150910" w:rsidRPr="00F71EE6">
        <w:rPr>
          <w:rFonts w:ascii="Times New Roman" w:eastAsia="Times New Roman" w:hAnsi="Times New Roman" w:cs="Times New Roman"/>
        </w:rPr>
        <w:t>(</w:t>
      </w:r>
      <w:r w:rsidRPr="00F71EE6">
        <w:rPr>
          <w:rFonts w:ascii="Times New Roman" w:eastAsia="Times New Roman" w:hAnsi="Times New Roman" w:cs="Times New Roman"/>
        </w:rPr>
        <w:t>2011</w:t>
      </w:r>
      <w:r w:rsidR="00150910" w:rsidRPr="00F71EE6">
        <w:rPr>
          <w:rFonts w:ascii="Times New Roman" w:eastAsia="Times New Roman" w:hAnsi="Times New Roman" w:cs="Times New Roman"/>
        </w:rPr>
        <w:t>)</w:t>
      </w:r>
      <w:r w:rsidRPr="00F71EE6">
        <w:rPr>
          <w:rFonts w:ascii="Times New Roman" w:eastAsia="Times New Roman" w:hAnsi="Times New Roman" w:cs="Times New Roman"/>
        </w:rPr>
        <w:t xml:space="preserve">, č. 11. Dostupné z: </w:t>
      </w:r>
      <w:hyperlink r:id="rId12">
        <w:r w:rsidR="00313177" w:rsidRPr="00F71EE6">
          <w:rPr>
            <w:rFonts w:ascii="Times New Roman" w:eastAsia="Times New Roman" w:hAnsi="Times New Roman" w:cs="Times New Roman"/>
            <w:u w:val="single"/>
          </w:rPr>
          <w:t>http://journals.openedition.org/trans/443</w:t>
        </w:r>
      </w:hyperlink>
      <w:r w:rsidRPr="00F71EE6">
        <w:rPr>
          <w:rFonts w:ascii="Times New Roman" w:eastAsia="Times New Roman" w:hAnsi="Times New Roman" w:cs="Times New Roman"/>
        </w:rPr>
        <w:t>.</w:t>
      </w:r>
    </w:p>
    <w:p w14:paraId="0000006A"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 PILÁTOVÁ, Jana. </w:t>
      </w:r>
      <w:r w:rsidRPr="00F71EE6">
        <w:rPr>
          <w:rFonts w:ascii="Times New Roman" w:eastAsia="Times New Roman" w:hAnsi="Times New Roman" w:cs="Times New Roman"/>
          <w:i/>
          <w:iCs/>
        </w:rPr>
        <w:t>Hnízdo Grotowského.</w:t>
      </w:r>
      <w:r w:rsidRPr="00F71EE6">
        <w:rPr>
          <w:rFonts w:ascii="Times New Roman" w:eastAsia="Times New Roman" w:hAnsi="Times New Roman" w:cs="Times New Roman"/>
        </w:rPr>
        <w:t xml:space="preserve"> Praha: Divadelní ústav, 2009.</w:t>
      </w:r>
    </w:p>
    <w:p w14:paraId="0000006B"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ROSENMEYER, Thomas G. (2002). </w:t>
      </w:r>
      <w:r w:rsidRPr="00F71EE6">
        <w:rPr>
          <w:rFonts w:ascii="Times New Roman" w:eastAsia="Times New Roman" w:hAnsi="Times New Roman" w:cs="Times New Roman"/>
          <w:i/>
          <w:iCs/>
        </w:rPr>
        <w:t>Metatheater: An Essay on Overload.</w:t>
      </w:r>
      <w:r w:rsidRPr="00F71EE6">
        <w:rPr>
          <w:rFonts w:ascii="Times New Roman" w:eastAsia="Times New Roman" w:hAnsi="Times New Roman" w:cs="Times New Roman"/>
        </w:rPr>
        <w:t xml:space="preserve"> Arion: A journal of humanities and the classics, roč. 10 (2002), č. 2, 87-199. Dostupné z: </w:t>
      </w:r>
      <w:hyperlink r:id="rId13">
        <w:r w:rsidR="00313177" w:rsidRPr="00F71EE6">
          <w:rPr>
            <w:rFonts w:ascii="Times New Roman" w:eastAsia="Times New Roman" w:hAnsi="Times New Roman" w:cs="Times New Roman"/>
            <w:u w:val="single"/>
          </w:rPr>
          <w:t>https://www.jstor.org/stable/20163888</w:t>
        </w:r>
      </w:hyperlink>
      <w:r w:rsidRPr="00F71EE6">
        <w:rPr>
          <w:rFonts w:ascii="Times New Roman" w:eastAsia="Times New Roman" w:hAnsi="Times New Roman" w:cs="Times New Roman"/>
        </w:rPr>
        <w:t>.</w:t>
      </w:r>
    </w:p>
    <w:p w14:paraId="0000006C"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i/>
          <w:iCs/>
        </w:rPr>
        <w:lastRenderedPageBreak/>
        <w:t>The Constant Prince (Książę Niezłomny).</w:t>
      </w:r>
      <w:r w:rsidRPr="00F71EE6">
        <w:rPr>
          <w:rFonts w:ascii="Times New Roman" w:eastAsia="Times New Roman" w:hAnsi="Times New Roman" w:cs="Times New Roman"/>
        </w:rPr>
        <w:t xml:space="preserve"> Online. GROTOWSKI.NET. 2025. Dostupné z: </w:t>
      </w:r>
      <w:hyperlink r:id="rId14">
        <w:r w:rsidR="00313177" w:rsidRPr="00F71EE6">
          <w:rPr>
            <w:rFonts w:ascii="Times New Roman" w:eastAsia="Times New Roman" w:hAnsi="Times New Roman" w:cs="Times New Roman"/>
            <w:u w:val="single"/>
          </w:rPr>
          <w:t>https://grotowski.net/en/encyclopedia/constant-prince-ksiaze-niezlomny</w:t>
        </w:r>
      </w:hyperlink>
      <w:r w:rsidRPr="00F71EE6">
        <w:rPr>
          <w:rFonts w:ascii="Times New Roman" w:eastAsia="Times New Roman" w:hAnsi="Times New Roman" w:cs="Times New Roman"/>
        </w:rPr>
        <w:t>. [cit. 2026-05-010]</w:t>
      </w:r>
    </w:p>
    <w:p w14:paraId="0000006D" w14:textId="77777777" w:rsidR="00313177" w:rsidRPr="00F71EE6"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 xml:space="preserve">OSIŃSKI, Zbigniew. </w:t>
      </w:r>
      <w:r w:rsidRPr="00F71EE6">
        <w:rPr>
          <w:rFonts w:ascii="Times New Roman" w:eastAsia="Times New Roman" w:hAnsi="Times New Roman" w:cs="Times New Roman"/>
          <w:i/>
          <w:iCs/>
        </w:rPr>
        <w:t xml:space="preserve">Jerzy Grotowski, źródła, inspiracje, konteksty. </w:t>
      </w:r>
      <w:r w:rsidRPr="00F71EE6">
        <w:rPr>
          <w:rFonts w:ascii="Times New Roman" w:eastAsia="Times New Roman" w:hAnsi="Times New Roman" w:cs="Times New Roman"/>
        </w:rPr>
        <w:t>Gdańsk: Wydawcnitwo słowo/obraz terytoria, 1998.</w:t>
      </w:r>
    </w:p>
    <w:p w14:paraId="0000006E" w14:textId="77777777" w:rsidR="00313177" w:rsidRDefault="00000000">
      <w:pPr>
        <w:spacing w:after="400" w:line="276" w:lineRule="auto"/>
        <w:jc w:val="both"/>
        <w:rPr>
          <w:rFonts w:ascii="Times New Roman" w:eastAsia="Times New Roman" w:hAnsi="Times New Roman" w:cs="Times New Roman"/>
        </w:rPr>
      </w:pPr>
      <w:r w:rsidRPr="00F71EE6">
        <w:rPr>
          <w:rFonts w:ascii="Times New Roman" w:eastAsia="Times New Roman" w:hAnsi="Times New Roman" w:cs="Times New Roman"/>
        </w:rPr>
        <w:t>WYSPIAŃSKI, Stanisław</w:t>
      </w:r>
      <w:r w:rsidRPr="00F71EE6">
        <w:rPr>
          <w:rFonts w:ascii="Times New Roman" w:eastAsia="Times New Roman" w:hAnsi="Times New Roman" w:cs="Times New Roman"/>
          <w:i/>
          <w:iCs/>
        </w:rPr>
        <w:t xml:space="preserve">. Acropolis – The Wawel Plays. </w:t>
      </w:r>
      <w:r w:rsidRPr="00F71EE6">
        <w:rPr>
          <w:rFonts w:ascii="Times New Roman" w:eastAsia="Times New Roman" w:hAnsi="Times New Roman" w:cs="Times New Roman"/>
        </w:rPr>
        <w:t>Online Ebook.</w:t>
      </w:r>
      <w:r w:rsidRPr="00F71EE6">
        <w:rPr>
          <w:rFonts w:ascii="Times New Roman" w:eastAsia="Times New Roman" w:hAnsi="Times New Roman" w:cs="Times New Roman"/>
          <w:i/>
          <w:iCs/>
        </w:rPr>
        <w:t xml:space="preserve"> </w:t>
      </w:r>
      <w:r w:rsidRPr="00F71EE6">
        <w:rPr>
          <w:rFonts w:ascii="Times New Roman" w:eastAsia="Times New Roman" w:hAnsi="Times New Roman" w:cs="Times New Roman"/>
        </w:rPr>
        <w:t>Přeložil Charles S. KRASZEWSKI. Glasgolav Publications, 2017. ISBN: 9781911414568</w:t>
      </w:r>
      <w:r>
        <w:rPr>
          <w:rFonts w:ascii="Times New Roman" w:eastAsia="Times New Roman" w:hAnsi="Times New Roman" w:cs="Times New Roman"/>
        </w:rPr>
        <w:t>.</w:t>
      </w:r>
    </w:p>
    <w:p w14:paraId="0000006F" w14:textId="77777777" w:rsidR="00313177" w:rsidRDefault="00313177">
      <w:pPr>
        <w:rPr>
          <w:rFonts w:ascii="Times New Roman" w:eastAsia="Times New Roman" w:hAnsi="Times New Roman" w:cs="Times New Roman"/>
        </w:rPr>
      </w:pPr>
    </w:p>
    <w:sectPr w:rsidR="0031317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7111" w14:textId="77777777" w:rsidR="004938CC" w:rsidRDefault="004938CC">
      <w:pPr>
        <w:spacing w:after="0" w:line="240" w:lineRule="auto"/>
      </w:pPr>
      <w:r>
        <w:separator/>
      </w:r>
    </w:p>
  </w:endnote>
  <w:endnote w:type="continuationSeparator" w:id="0">
    <w:p w14:paraId="16AC66D6" w14:textId="77777777" w:rsidR="004938CC" w:rsidRDefault="00493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F7555FD-E949-42BC-9696-FDBA4B7DEE09}"/>
    <w:embedBold r:id="rId2" w:fontKey="{2B0D8FD9-0CAE-4700-A2EB-80E8C4087503}"/>
    <w:embedItalic r:id="rId3" w:fontKey="{06C9AE48-C0A2-42DE-825F-9A801F48D897}"/>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4" w:fontKey="{7AA75F2B-D29A-4390-BD4F-DB355CDABF01}"/>
  </w:font>
  <w:font w:name="Calibri">
    <w:panose1 w:val="020F0502020204030204"/>
    <w:charset w:val="EE"/>
    <w:family w:val="swiss"/>
    <w:pitch w:val="variable"/>
    <w:sig w:usb0="E4002EFF" w:usb1="C200247B" w:usb2="00000009" w:usb3="00000000" w:csb0="000001FF" w:csb1="00000000"/>
    <w:embedRegular r:id="rId5" w:fontKey="{8B4A243A-D84C-4BC2-80B7-4882C41A7ADF}"/>
  </w:font>
  <w:font w:name="Cambria">
    <w:panose1 w:val="02040503050406030204"/>
    <w:charset w:val="EE"/>
    <w:family w:val="roman"/>
    <w:pitch w:val="variable"/>
    <w:sig w:usb0="E00006FF" w:usb1="420024FF" w:usb2="02000000" w:usb3="00000000" w:csb0="0000019F" w:csb1="00000000"/>
    <w:embedRegular r:id="rId6" w:fontKey="{E8E4B79F-22C5-4F21-8585-195A9152D7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A" w14:textId="77777777" w:rsidR="00313177" w:rsidRDefault="00313177">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B" w14:textId="77777777" w:rsidR="00313177" w:rsidRDefault="00313177">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sz w:val="22"/>
        <w:szCs w:val="22"/>
      </w:rPr>
    </w:pPr>
  </w:p>
  <w:p w14:paraId="0000009C" w14:textId="77777777" w:rsidR="00313177" w:rsidRDefault="00313177">
    <w:pPr>
      <w:pBdr>
        <w:top w:val="nil"/>
        <w:left w:val="nil"/>
        <w:bottom w:val="nil"/>
        <w:right w:val="nil"/>
        <w:between w:val="nil"/>
      </w:pBdr>
      <w:tabs>
        <w:tab w:val="center" w:pos="4536"/>
        <w:tab w:val="right" w:pos="9072"/>
      </w:tabs>
      <w:spacing w:after="0" w:line="240" w:lineRule="auto"/>
      <w:jc w:val="center"/>
      <w:rPr>
        <w:color w:val="000000"/>
      </w:rPr>
    </w:pPr>
  </w:p>
  <w:p w14:paraId="0000009D" w14:textId="77777777" w:rsidR="00313177" w:rsidRDefault="00313177">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E" w14:textId="77777777" w:rsidR="00313177" w:rsidRDefault="00000000">
    <w:pPr>
      <w:pBdr>
        <w:top w:val="nil"/>
        <w:left w:val="nil"/>
        <w:bottom w:val="nil"/>
        <w:right w:val="nil"/>
        <w:between w:val="nil"/>
      </w:pBdr>
      <w:tabs>
        <w:tab w:val="center" w:pos="4536"/>
        <w:tab w:val="right" w:pos="9072"/>
      </w:tabs>
      <w:spacing w:after="0" w:line="240" w:lineRule="auto"/>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p>
  <w:p w14:paraId="0000009F" w14:textId="77777777" w:rsidR="00313177" w:rsidRDefault="0031317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64676" w14:textId="77777777" w:rsidR="004938CC" w:rsidRDefault="004938CC">
      <w:pPr>
        <w:spacing w:after="0" w:line="240" w:lineRule="auto"/>
      </w:pPr>
      <w:r>
        <w:separator/>
      </w:r>
    </w:p>
  </w:footnote>
  <w:footnote w:type="continuationSeparator" w:id="0">
    <w:p w14:paraId="379DBC3B" w14:textId="77777777" w:rsidR="004938CC" w:rsidRDefault="004938CC">
      <w:pPr>
        <w:spacing w:after="0" w:line="240" w:lineRule="auto"/>
      </w:pPr>
      <w:r>
        <w:continuationSeparator/>
      </w:r>
    </w:p>
  </w:footnote>
  <w:footnote w:id="1">
    <w:p w14:paraId="00000070" w14:textId="77777777"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w:t>
      </w:r>
      <w:r w:rsidRPr="00561049">
        <w:rPr>
          <w:rFonts w:ascii="Times New Roman" w:eastAsia="Times New Roman" w:hAnsi="Times New Roman" w:cs="Times New Roman"/>
          <w:i/>
          <w:iCs/>
          <w:color w:val="000000"/>
          <w:sz w:val="20"/>
          <w:szCs w:val="20"/>
        </w:rPr>
        <w:t>Jerzy Grotowski Acropolis.</w:t>
      </w:r>
      <w:r w:rsidRPr="00561049">
        <w:rPr>
          <w:rFonts w:ascii="Times New Roman" w:eastAsia="Times New Roman" w:hAnsi="Times New Roman" w:cs="Times New Roman"/>
          <w:color w:val="000000"/>
          <w:sz w:val="20"/>
          <w:szCs w:val="20"/>
        </w:rPr>
        <w:t xml:space="preserve"> 1968. [filmový záznam inscenace]. Režie James MACTAGGART. USA, Cantor Films.</w:t>
      </w:r>
    </w:p>
  </w:footnote>
  <w:footnote w:id="2">
    <w:p w14:paraId="00000071" w14:textId="77777777"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Originální text v ABEL, Lionel. </w:t>
      </w:r>
      <w:r w:rsidRPr="00561049">
        <w:rPr>
          <w:rFonts w:ascii="Times New Roman" w:eastAsia="Times New Roman" w:hAnsi="Times New Roman" w:cs="Times New Roman"/>
          <w:i/>
          <w:iCs/>
          <w:color w:val="000000"/>
          <w:sz w:val="20"/>
          <w:szCs w:val="20"/>
        </w:rPr>
        <w:t>Metatheatre: A New View of Dramatic Form.</w:t>
      </w:r>
      <w:r w:rsidRPr="00561049">
        <w:rPr>
          <w:rFonts w:ascii="Times New Roman" w:eastAsia="Times New Roman" w:hAnsi="Times New Roman" w:cs="Times New Roman"/>
          <w:color w:val="000000"/>
          <w:sz w:val="20"/>
          <w:szCs w:val="20"/>
        </w:rPr>
        <w:t xml:space="preserve"> New York: Hill and Wang, 1963. s. 1.: </w:t>
      </w:r>
      <w:r w:rsidRPr="00561049">
        <w:rPr>
          <w:rFonts w:ascii="Times New Roman" w:eastAsia="Times New Roman" w:hAnsi="Times New Roman" w:cs="Times New Roman"/>
          <w:sz w:val="20"/>
          <w:szCs w:val="20"/>
        </w:rPr>
        <w:t>„Hubris, then, is a claim to a certain kind of divinty which may or may not be granted. Not that the protagonisto of tragedy is willing to undergo destruction in order to become a daemon. On the contrary, the tragic protagonist hopes to achieve other and more human ends. But he acts as if he were invulnerable. This fiction leads him to destruction.“</w:t>
      </w:r>
    </w:p>
  </w:footnote>
  <w:footnote w:id="3">
    <w:p w14:paraId="00000072"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 s. 3.</w:t>
      </w:r>
    </w:p>
  </w:footnote>
  <w:footnote w:id="4">
    <w:p w14:paraId="00000073" w14:textId="77777777"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s. 76.</w:t>
      </w:r>
    </w:p>
  </w:footnote>
  <w:footnote w:id="5">
    <w:p w14:paraId="00000074" w14:textId="77777777"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s. 41.</w:t>
      </w:r>
    </w:p>
  </w:footnote>
  <w:footnote w:id="6">
    <w:p w14:paraId="00000075" w14:textId="77777777"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s. 76.</w:t>
      </w:r>
    </w:p>
  </w:footnote>
  <w:footnote w:id="7">
    <w:p w14:paraId="00000076" w14:textId="77777777"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s. 50.</w:t>
      </w:r>
    </w:p>
  </w:footnote>
  <w:footnote w:id="8">
    <w:p w14:paraId="00000077" w14:textId="0FD93F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PEREZ-SIMÓN, Andrés. The concept of metatheatre: A functional Approach</w:t>
      </w:r>
      <w:r w:rsidRPr="00561049">
        <w:rPr>
          <w:rFonts w:ascii="Times New Roman" w:eastAsia="Times New Roman" w:hAnsi="Times New Roman" w:cs="Times New Roman"/>
          <w:i/>
          <w:iCs/>
          <w:sz w:val="20"/>
          <w:szCs w:val="20"/>
        </w:rPr>
        <w:t>.</w:t>
      </w:r>
      <w:r w:rsidRPr="00561049">
        <w:rPr>
          <w:rFonts w:ascii="Times New Roman" w:eastAsia="Times New Roman" w:hAnsi="Times New Roman" w:cs="Times New Roman"/>
          <w:sz w:val="20"/>
          <w:szCs w:val="20"/>
        </w:rPr>
        <w:t xml:space="preserve"> Online. </w:t>
      </w:r>
      <w:r w:rsidRPr="00561049">
        <w:rPr>
          <w:rFonts w:ascii="Times New Roman" w:eastAsia="Times New Roman" w:hAnsi="Times New Roman" w:cs="Times New Roman"/>
          <w:i/>
          <w:iCs/>
          <w:sz w:val="20"/>
          <w:szCs w:val="20"/>
        </w:rPr>
        <w:t>Trans – revue de littérature générale et comparée</w:t>
      </w:r>
      <w:r w:rsidR="00150910">
        <w:rPr>
          <w:rFonts w:ascii="Times New Roman" w:eastAsia="Times New Roman" w:hAnsi="Times New Roman" w:cs="Times New Roman"/>
          <w:i/>
          <w:iCs/>
          <w:sz w:val="20"/>
          <w:szCs w:val="20"/>
        </w:rPr>
        <w:t xml:space="preserve">. </w:t>
      </w:r>
      <w:r w:rsidR="00150910">
        <w:rPr>
          <w:rFonts w:ascii="Times New Roman" w:eastAsia="Times New Roman" w:hAnsi="Times New Roman" w:cs="Times New Roman"/>
          <w:sz w:val="20"/>
          <w:szCs w:val="20"/>
        </w:rPr>
        <w:t>r</w:t>
      </w:r>
      <w:r w:rsidR="00DA6455">
        <w:rPr>
          <w:rFonts w:ascii="Times New Roman" w:eastAsia="Times New Roman" w:hAnsi="Times New Roman" w:cs="Times New Roman"/>
          <w:sz w:val="20"/>
          <w:szCs w:val="20"/>
        </w:rPr>
        <w:t>oč. 7</w:t>
      </w:r>
      <w:r w:rsidRPr="00561049">
        <w:rPr>
          <w:rFonts w:ascii="Times New Roman" w:eastAsia="Times New Roman" w:hAnsi="Times New Roman" w:cs="Times New Roman"/>
          <w:sz w:val="20"/>
          <w:szCs w:val="20"/>
        </w:rPr>
        <w:t xml:space="preserve"> </w:t>
      </w:r>
      <w:r w:rsidR="00DA6455">
        <w:rPr>
          <w:rFonts w:ascii="Times New Roman" w:eastAsia="Times New Roman" w:hAnsi="Times New Roman" w:cs="Times New Roman"/>
          <w:sz w:val="20"/>
          <w:szCs w:val="20"/>
        </w:rPr>
        <w:t>(</w:t>
      </w:r>
      <w:r w:rsidRPr="00561049">
        <w:rPr>
          <w:rFonts w:ascii="Times New Roman" w:eastAsia="Times New Roman" w:hAnsi="Times New Roman" w:cs="Times New Roman"/>
          <w:sz w:val="20"/>
          <w:szCs w:val="20"/>
        </w:rPr>
        <w:t>2011</w:t>
      </w:r>
      <w:r w:rsidR="00DA6455">
        <w:rPr>
          <w:rFonts w:ascii="Times New Roman" w:eastAsia="Times New Roman" w:hAnsi="Times New Roman" w:cs="Times New Roman"/>
          <w:sz w:val="20"/>
          <w:szCs w:val="20"/>
        </w:rPr>
        <w:t>),</w:t>
      </w:r>
      <w:r w:rsidRPr="00561049">
        <w:rPr>
          <w:rFonts w:ascii="Times New Roman" w:eastAsia="Times New Roman" w:hAnsi="Times New Roman" w:cs="Times New Roman"/>
          <w:sz w:val="20"/>
          <w:szCs w:val="20"/>
        </w:rPr>
        <w:t xml:space="preserve"> č. 11, s. 6. Dostupné z: </w:t>
      </w:r>
      <w:hyperlink r:id="rId1">
        <w:r w:rsidR="00313177" w:rsidRPr="00561049">
          <w:rPr>
            <w:rFonts w:ascii="Times New Roman" w:eastAsia="Times New Roman" w:hAnsi="Times New Roman" w:cs="Times New Roman"/>
            <w:color w:val="000000"/>
            <w:sz w:val="20"/>
            <w:szCs w:val="20"/>
          </w:rPr>
          <w:t>http://journals.openedition.org/trans/443</w:t>
        </w:r>
      </w:hyperlink>
      <w:r w:rsidRPr="00561049">
        <w:rPr>
          <w:rFonts w:ascii="Times New Roman" w:eastAsia="Times New Roman" w:hAnsi="Times New Roman" w:cs="Times New Roman"/>
          <w:sz w:val="20"/>
          <w:szCs w:val="20"/>
        </w:rPr>
        <w:t xml:space="preserve">. </w:t>
      </w:r>
    </w:p>
  </w:footnote>
  <w:footnote w:id="9">
    <w:p w14:paraId="00000078"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JAKOBSON, Roman. </w:t>
      </w:r>
      <w:r w:rsidRPr="00561049">
        <w:rPr>
          <w:rFonts w:ascii="Times New Roman" w:eastAsia="Times New Roman" w:hAnsi="Times New Roman" w:cs="Times New Roman"/>
          <w:i/>
          <w:iCs/>
          <w:sz w:val="20"/>
          <w:szCs w:val="20"/>
        </w:rPr>
        <w:t xml:space="preserve">Lingvistika a poetika. </w:t>
      </w:r>
      <w:r w:rsidRPr="00561049">
        <w:rPr>
          <w:rFonts w:ascii="Times New Roman" w:eastAsia="Times New Roman" w:hAnsi="Times New Roman" w:cs="Times New Roman"/>
          <w:sz w:val="20"/>
          <w:szCs w:val="20"/>
        </w:rPr>
        <w:t>Praha: H&amp;H, 1995, s. 80.</w:t>
      </w:r>
    </w:p>
  </w:footnote>
  <w:footnote w:id="10">
    <w:p w14:paraId="00000079" w14:textId="7F4A7A3F"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PEREZ-SIMÓN, A. 2011, s. 4.</w:t>
      </w:r>
    </w:p>
  </w:footnote>
  <w:footnote w:id="11">
    <w:p w14:paraId="0000007A"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Originální text v ROSENMEYER, Thomas G.: </w:t>
      </w:r>
      <w:r w:rsidRPr="00561049">
        <w:rPr>
          <w:rFonts w:ascii="Times New Roman" w:eastAsia="Times New Roman" w:hAnsi="Times New Roman" w:cs="Times New Roman"/>
          <w:i/>
          <w:iCs/>
          <w:sz w:val="20"/>
          <w:szCs w:val="20"/>
        </w:rPr>
        <w:t>Metatheater: An Essay on Overload.</w:t>
      </w:r>
      <w:r w:rsidRPr="00561049">
        <w:rPr>
          <w:rFonts w:ascii="Times New Roman" w:eastAsia="Times New Roman" w:hAnsi="Times New Roman" w:cs="Times New Roman"/>
          <w:sz w:val="20"/>
          <w:szCs w:val="20"/>
        </w:rPr>
        <w:t xml:space="preserve"> Arion: A journal of humanities and the classics, roč. 10 (2002), č. 2, 87-199. Dostupné z: </w:t>
      </w:r>
      <w:hyperlink r:id="rId2">
        <w:r w:rsidR="00313177" w:rsidRPr="00561049">
          <w:rPr>
            <w:rFonts w:ascii="Times New Roman" w:eastAsia="Times New Roman" w:hAnsi="Times New Roman" w:cs="Times New Roman"/>
            <w:color w:val="000000"/>
            <w:sz w:val="20"/>
            <w:szCs w:val="20"/>
          </w:rPr>
          <w:t>https://www.jstor.org/stable/20163888</w:t>
        </w:r>
      </w:hyperlink>
      <w:r w:rsidRPr="00561049">
        <w:rPr>
          <w:rFonts w:ascii="Times New Roman" w:eastAsia="Times New Roman" w:hAnsi="Times New Roman" w:cs="Times New Roman"/>
          <w:sz w:val="20"/>
          <w:szCs w:val="20"/>
        </w:rPr>
        <w:t>. str. 97.: „Perhaps the most widely accepted notion associated with metatheatre is that the play recognizes its own status as fiction and performs a heremnutics of itself, that it examines or judes or raises questions about or is about itself or the tradition in which it stands, or raises questions about theater as a whole.“</w:t>
      </w:r>
    </w:p>
  </w:footnote>
  <w:footnote w:id="12">
    <w:p w14:paraId="0000007B" w14:textId="193C30B7"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w:t>
      </w:r>
      <w:r w:rsidR="00E90288" w:rsidRPr="00561049">
        <w:rPr>
          <w:rFonts w:ascii="Times New Roman" w:eastAsia="Times New Roman" w:hAnsi="Times New Roman" w:cs="Times New Roman"/>
          <w:color w:val="000000"/>
          <w:sz w:val="20"/>
          <w:szCs w:val="20"/>
        </w:rPr>
        <w:t xml:space="preserve"> s</w:t>
      </w:r>
      <w:r w:rsidRPr="00561049">
        <w:rPr>
          <w:rFonts w:ascii="Times New Roman" w:eastAsia="Times New Roman" w:hAnsi="Times New Roman" w:cs="Times New Roman"/>
          <w:color w:val="000000"/>
          <w:sz w:val="20"/>
          <w:szCs w:val="20"/>
        </w:rPr>
        <w:t>. 10.</w:t>
      </w:r>
    </w:p>
  </w:footnote>
  <w:footnote w:id="13">
    <w:p w14:paraId="0000007C" w14:textId="7EDC66FB"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w:t>
      </w:r>
      <w:r w:rsidR="00E90288" w:rsidRPr="00561049">
        <w:rPr>
          <w:rFonts w:ascii="Times New Roman" w:eastAsia="Times New Roman" w:hAnsi="Times New Roman" w:cs="Times New Roman"/>
          <w:color w:val="000000"/>
          <w:sz w:val="20"/>
          <w:szCs w:val="20"/>
        </w:rPr>
        <w:t>s</w:t>
      </w:r>
      <w:r w:rsidRPr="00561049">
        <w:rPr>
          <w:rFonts w:ascii="Times New Roman" w:eastAsia="Times New Roman" w:hAnsi="Times New Roman" w:cs="Times New Roman"/>
          <w:color w:val="000000"/>
          <w:sz w:val="20"/>
          <w:szCs w:val="20"/>
        </w:rPr>
        <w:t>. 102</w:t>
      </w:r>
    </w:p>
  </w:footnote>
  <w:footnote w:id="14">
    <w:p w14:paraId="0000007D"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KOSIŃSKI, Dariusz. </w:t>
      </w:r>
      <w:r w:rsidRPr="00561049">
        <w:rPr>
          <w:rFonts w:ascii="Times New Roman" w:eastAsia="Times New Roman" w:hAnsi="Times New Roman" w:cs="Times New Roman"/>
          <w:i/>
          <w:iCs/>
          <w:sz w:val="20"/>
          <w:szCs w:val="20"/>
        </w:rPr>
        <w:t>Jerzy Grotowski</w:t>
      </w:r>
      <w:r w:rsidRPr="00561049">
        <w:rPr>
          <w:rFonts w:ascii="Times New Roman" w:eastAsia="Times New Roman" w:hAnsi="Times New Roman" w:cs="Times New Roman"/>
          <w:sz w:val="20"/>
          <w:szCs w:val="20"/>
        </w:rPr>
        <w:t xml:space="preserve">. Online. Encyklopedia teatru polskiego. 2017. Dostupné z: </w:t>
      </w:r>
      <w:hyperlink r:id="rId3">
        <w:r w:rsidR="00313177" w:rsidRPr="00561049">
          <w:rPr>
            <w:rFonts w:ascii="Times New Roman" w:eastAsia="Times New Roman" w:hAnsi="Times New Roman" w:cs="Times New Roman"/>
            <w:color w:val="000000"/>
            <w:sz w:val="20"/>
            <w:szCs w:val="20"/>
          </w:rPr>
          <w:t>https://encyklopediateatru.pl/osoby/10275/jerzy-grotowski</w:t>
        </w:r>
      </w:hyperlink>
      <w:r w:rsidRPr="00561049">
        <w:rPr>
          <w:rFonts w:ascii="Times New Roman" w:eastAsia="Times New Roman" w:hAnsi="Times New Roman" w:cs="Times New Roman"/>
          <w:sz w:val="20"/>
          <w:szCs w:val="20"/>
        </w:rPr>
        <w:t>. [citováno 2026-04-03]</w:t>
      </w:r>
    </w:p>
  </w:footnote>
  <w:footnote w:id="15">
    <w:p w14:paraId="0000007E"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w:t>
      </w:r>
    </w:p>
  </w:footnote>
  <w:footnote w:id="16">
    <w:p w14:paraId="0000007F" w14:textId="1CD9D488"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Originální text v BARBA, Eugenio. BROOK, Peter. GROTOWSKI, Jerzy. </w:t>
      </w:r>
      <w:r w:rsidRPr="00561049">
        <w:rPr>
          <w:rFonts w:ascii="Times New Roman" w:eastAsia="Times New Roman" w:hAnsi="Times New Roman" w:cs="Times New Roman"/>
          <w:i/>
          <w:iCs/>
          <w:sz w:val="20"/>
          <w:szCs w:val="20"/>
        </w:rPr>
        <w:t xml:space="preserve">Towards a Poor Theatre. </w:t>
      </w:r>
      <w:r w:rsidRPr="00561049">
        <w:rPr>
          <w:rFonts w:ascii="Times New Roman" w:eastAsia="Times New Roman" w:hAnsi="Times New Roman" w:cs="Times New Roman"/>
          <w:sz w:val="20"/>
          <w:szCs w:val="20"/>
        </w:rPr>
        <w:t>Holstebro: </w:t>
      </w:r>
      <w:hyperlink r:id="rId4" w:anchor="!/records/f6501122-49f7-48ed-94be-274e3b1f8463">
        <w:r w:rsidR="00313177" w:rsidRPr="00561049">
          <w:rPr>
            <w:rFonts w:ascii="Times New Roman" w:eastAsia="Times New Roman" w:hAnsi="Times New Roman" w:cs="Times New Roman"/>
            <w:sz w:val="20"/>
            <w:szCs w:val="20"/>
          </w:rPr>
          <w:t>Odin Teatrets</w:t>
        </w:r>
      </w:hyperlink>
      <w:r w:rsidRPr="00561049">
        <w:rPr>
          <w:rFonts w:ascii="Times New Roman" w:eastAsia="Times New Roman" w:hAnsi="Times New Roman" w:cs="Times New Roman"/>
          <w:sz w:val="20"/>
          <w:szCs w:val="20"/>
        </w:rPr>
        <w:t>, 1968</w:t>
      </w:r>
      <w:r w:rsidR="00255D49" w:rsidRPr="00561049">
        <w:rPr>
          <w:rFonts w:ascii="Times New Roman" w:eastAsia="Times New Roman" w:hAnsi="Times New Roman" w:cs="Times New Roman"/>
          <w:sz w:val="20"/>
          <w:szCs w:val="20"/>
        </w:rPr>
        <w:t>,</w:t>
      </w:r>
      <w:r w:rsidRPr="00561049">
        <w:rPr>
          <w:rFonts w:ascii="Times New Roman" w:eastAsia="Times New Roman" w:hAnsi="Times New Roman" w:cs="Times New Roman"/>
          <w:sz w:val="20"/>
          <w:szCs w:val="20"/>
        </w:rPr>
        <w:t xml:space="preserve"> s. 52.: „Even though we often use classical texts, ours is a contemporary theatre in that it confronts our very roots with our current behaviour and stereotypes, and in this way shows us our "today" in perspective with "yesterday", and our "yesterday" with "today". Even if this theatre uses an elementary language of signs and sounds – comprehensible beyond the semantic value of the word, even to a person who does not understand the language in which the play is performed – such a theatre must be a national one since it is based on introspection and on the whole of our social super-ego which has been moulded in a particular national climate, thus becoming an integral part of it.“</w:t>
      </w:r>
    </w:p>
  </w:footnote>
  <w:footnote w:id="17">
    <w:p w14:paraId="00000080"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KOSIŃSKI, Dariusz. </w:t>
      </w:r>
      <w:r w:rsidRPr="00561049">
        <w:rPr>
          <w:rFonts w:ascii="Times New Roman" w:eastAsia="Times New Roman" w:hAnsi="Times New Roman" w:cs="Times New Roman"/>
          <w:i/>
          <w:iCs/>
          <w:sz w:val="20"/>
          <w:szCs w:val="20"/>
        </w:rPr>
        <w:t>Jerzy Grotowski</w:t>
      </w:r>
      <w:r w:rsidRPr="00561049">
        <w:rPr>
          <w:rFonts w:ascii="Times New Roman" w:eastAsia="Times New Roman" w:hAnsi="Times New Roman" w:cs="Times New Roman"/>
          <w:sz w:val="20"/>
          <w:szCs w:val="20"/>
        </w:rPr>
        <w:t xml:space="preserve">. Online. Encyklopedia teatru polskiego. 2017. Dostupné z: </w:t>
      </w:r>
      <w:hyperlink r:id="rId5">
        <w:r w:rsidR="00313177" w:rsidRPr="00561049">
          <w:rPr>
            <w:rFonts w:ascii="Times New Roman" w:eastAsia="Times New Roman" w:hAnsi="Times New Roman" w:cs="Times New Roman"/>
            <w:color w:val="000000"/>
            <w:sz w:val="20"/>
            <w:szCs w:val="20"/>
          </w:rPr>
          <w:t>https://encyklopediateatru.pl/osoby/10275/jerzy-grotowski</w:t>
        </w:r>
      </w:hyperlink>
      <w:r w:rsidRPr="00561049">
        <w:rPr>
          <w:rFonts w:ascii="Times New Roman" w:eastAsia="Times New Roman" w:hAnsi="Times New Roman" w:cs="Times New Roman"/>
          <w:sz w:val="20"/>
          <w:szCs w:val="20"/>
        </w:rPr>
        <w:t>. [citováno 2026-04-03]</w:t>
      </w:r>
    </w:p>
  </w:footnote>
  <w:footnote w:id="18">
    <w:p w14:paraId="0456193C" w14:textId="05143C53" w:rsidR="00E90288" w:rsidRPr="00561049" w:rsidRDefault="00E90288" w:rsidP="00561049">
      <w:pPr>
        <w:pStyle w:val="Textpoznpodarou"/>
        <w:spacing w:beforeLines="100" w:before="240" w:afterLines="100" w:after="240"/>
        <w:rPr>
          <w:rFonts w:ascii="Times New Roman" w:hAnsi="Times New Roman" w:cs="Times New Roman"/>
          <w:lang w:val="cs-CZ"/>
        </w:rPr>
      </w:pPr>
      <w:r w:rsidRPr="00561049">
        <w:rPr>
          <w:rStyle w:val="Znakapoznpodarou"/>
          <w:rFonts w:ascii="Times New Roman" w:hAnsi="Times New Roman" w:cs="Times New Roman"/>
        </w:rPr>
        <w:footnoteRef/>
      </w:r>
      <w:r w:rsidRPr="00561049">
        <w:rPr>
          <w:rFonts w:ascii="Times New Roman" w:hAnsi="Times New Roman" w:cs="Times New Roman"/>
        </w:rPr>
        <w:t xml:space="preserve"> </w:t>
      </w:r>
      <w:r w:rsidRPr="00561049">
        <w:rPr>
          <w:rFonts w:ascii="Times New Roman" w:eastAsia="Times New Roman" w:hAnsi="Times New Roman" w:cs="Times New Roman"/>
          <w:color w:val="000000"/>
        </w:rPr>
        <w:t xml:space="preserve">BARBA, Eugenio. BROOK, Peter. GROTOWSKI, Jerzy. </w:t>
      </w:r>
      <w:r w:rsidRPr="00561049">
        <w:rPr>
          <w:rFonts w:ascii="Times New Roman" w:eastAsia="Times New Roman" w:hAnsi="Times New Roman" w:cs="Times New Roman"/>
          <w:i/>
          <w:iCs/>
          <w:color w:val="000000"/>
        </w:rPr>
        <w:t xml:space="preserve">Towards a Poor Theatre. </w:t>
      </w:r>
      <w:r w:rsidRPr="00561049">
        <w:rPr>
          <w:rFonts w:ascii="Times New Roman" w:eastAsia="Times New Roman" w:hAnsi="Times New Roman" w:cs="Times New Roman"/>
          <w:color w:val="000000"/>
        </w:rPr>
        <w:t>Holstebro: </w:t>
      </w:r>
      <w:hyperlink r:id="rId6" w:anchor="!/records/f6501122-49f7-48ed-94be-274e3b1f8463">
        <w:r w:rsidRPr="00561049">
          <w:rPr>
            <w:rFonts w:ascii="Times New Roman" w:eastAsia="Times New Roman" w:hAnsi="Times New Roman" w:cs="Times New Roman"/>
            <w:color w:val="000000"/>
          </w:rPr>
          <w:t>Odin Teatrets</w:t>
        </w:r>
      </w:hyperlink>
      <w:r w:rsidRPr="00561049">
        <w:rPr>
          <w:rFonts w:ascii="Times New Roman" w:eastAsia="Times New Roman" w:hAnsi="Times New Roman" w:cs="Times New Roman"/>
          <w:color w:val="000000"/>
        </w:rPr>
        <w:t>, 1968.</w:t>
      </w:r>
    </w:p>
  </w:footnote>
  <w:footnote w:id="19">
    <w:p w14:paraId="727870DF" w14:textId="3823AD37" w:rsidR="00255D49" w:rsidRPr="00561049" w:rsidRDefault="00255D49" w:rsidP="00561049">
      <w:pPr>
        <w:pStyle w:val="Textpoznpodarou"/>
        <w:spacing w:beforeLines="100" w:before="240" w:afterLines="100" w:after="240"/>
        <w:rPr>
          <w:rFonts w:ascii="Times New Roman" w:hAnsi="Times New Roman" w:cs="Times New Roman"/>
          <w:lang w:val="cs-CZ"/>
        </w:rPr>
      </w:pPr>
      <w:r w:rsidRPr="00561049">
        <w:rPr>
          <w:rStyle w:val="Znakapoznpodarou"/>
          <w:rFonts w:ascii="Times New Roman" w:hAnsi="Times New Roman" w:cs="Times New Roman"/>
        </w:rPr>
        <w:footnoteRef/>
      </w:r>
      <w:r w:rsidRPr="00561049">
        <w:rPr>
          <w:rFonts w:ascii="Times New Roman" w:hAnsi="Times New Roman" w:cs="Times New Roman"/>
        </w:rPr>
        <w:t xml:space="preserve"> </w:t>
      </w:r>
      <w:r w:rsidRPr="00561049">
        <w:rPr>
          <w:rFonts w:ascii="Times New Roman" w:eastAsia="Times New Roman" w:hAnsi="Times New Roman" w:cs="Times New Roman"/>
          <w:color w:val="000000"/>
        </w:rPr>
        <w:t xml:space="preserve">Originální text v BARBA, Eugenio. BROOK, Peter. GROTOWSKI, Jerzy. </w:t>
      </w:r>
      <w:r w:rsidRPr="00561049">
        <w:rPr>
          <w:rFonts w:ascii="Times New Roman" w:eastAsia="Times New Roman" w:hAnsi="Times New Roman" w:cs="Times New Roman"/>
          <w:i/>
          <w:iCs/>
          <w:color w:val="000000"/>
        </w:rPr>
        <w:t xml:space="preserve">Towards a Poor Theatre. </w:t>
      </w:r>
      <w:r w:rsidRPr="00561049">
        <w:rPr>
          <w:rFonts w:ascii="Times New Roman" w:eastAsia="Times New Roman" w:hAnsi="Times New Roman" w:cs="Times New Roman"/>
          <w:color w:val="000000"/>
        </w:rPr>
        <w:t>Holstebro: </w:t>
      </w:r>
      <w:hyperlink r:id="rId7" w:anchor="!/records/f6501122-49f7-48ed-94be-274e3b1f8463">
        <w:r w:rsidRPr="00561049">
          <w:rPr>
            <w:rFonts w:ascii="Times New Roman" w:eastAsia="Times New Roman" w:hAnsi="Times New Roman" w:cs="Times New Roman"/>
            <w:color w:val="000000"/>
          </w:rPr>
          <w:t>Odin Teatrets</w:t>
        </w:r>
      </w:hyperlink>
      <w:r w:rsidRPr="00561049">
        <w:rPr>
          <w:rFonts w:ascii="Times New Roman" w:eastAsia="Times New Roman" w:hAnsi="Times New Roman" w:cs="Times New Roman"/>
          <w:color w:val="000000"/>
        </w:rPr>
        <w:t>, 1968, s. 11.:</w:t>
      </w:r>
      <w:r w:rsidRPr="00561049">
        <w:rPr>
          <w:rFonts w:ascii="Times New Roman" w:hAnsi="Times New Roman" w:cs="Times New Roman"/>
        </w:rPr>
        <w:t xml:space="preserve"> „</w:t>
      </w:r>
      <w:r w:rsidRPr="00561049">
        <w:rPr>
          <w:rFonts w:ascii="Times New Roman" w:eastAsia="Times New Roman" w:hAnsi="Times New Roman" w:cs="Times New Roman"/>
          <w:color w:val="000000"/>
        </w:rPr>
        <w:t>Because no-one else in the world, to my knowledge, no-one since Stanislavski, has investigated the nature of acting, its phenomenon, its meaning, the nature and science of its mental-physical-emotional processes as deeply and completely as GrotowskI. He calls his theatre a laboratory. It is. It is a centre of research. It is perhaps the only avant-garde theatre whose poverty is not a drawback, where shortage of money is not an excuse for inadequate means which automatically undermine the experiments. In Grotowski's theatre as in all true laboratories the experiments are scientifically valid because the essential conditions are observed. In his theatre, there is absolute concentration by a small group, and unlimited time. So if you are interested in his findings you must go to Poland.“</w:t>
      </w:r>
    </w:p>
  </w:footnote>
  <w:footnote w:id="20">
    <w:p w14:paraId="00000082" w14:textId="7F519D07"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00255D49" w:rsidRPr="00561049">
        <w:rPr>
          <w:rFonts w:ascii="Times New Roman" w:eastAsia="Times New Roman" w:hAnsi="Times New Roman" w:cs="Times New Roman"/>
          <w:color w:val="000000"/>
          <w:sz w:val="20"/>
          <w:szCs w:val="20"/>
        </w:rPr>
        <w:t xml:space="preserve"> Tamtéž, s. 19.</w:t>
      </w:r>
    </w:p>
  </w:footnote>
  <w:footnote w:id="21">
    <w:p w14:paraId="00000083" w14:textId="0AA76178"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006E3F77">
        <w:rPr>
          <w:rFonts w:ascii="Times New Roman" w:eastAsia="Times New Roman" w:hAnsi="Times New Roman" w:cs="Times New Roman"/>
          <w:color w:val="000000"/>
          <w:sz w:val="20"/>
          <w:szCs w:val="20"/>
        </w:rPr>
        <w:t xml:space="preserve"> </w:t>
      </w:r>
      <w:r w:rsidR="006E3F77" w:rsidRPr="00561049">
        <w:rPr>
          <w:rFonts w:ascii="Times New Roman" w:eastAsia="Times New Roman" w:hAnsi="Times New Roman" w:cs="Times New Roman"/>
          <w:color w:val="000000"/>
          <w:sz w:val="20"/>
          <w:szCs w:val="20"/>
        </w:rPr>
        <w:t>Tamtéž, s. 19.</w:t>
      </w:r>
    </w:p>
  </w:footnote>
  <w:footnote w:id="22">
    <w:p w14:paraId="00000084" w14:textId="755E8291"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w:t>
      </w:r>
      <w:r w:rsidR="00E90288" w:rsidRPr="00561049">
        <w:rPr>
          <w:rFonts w:ascii="Times New Roman" w:eastAsia="Times New Roman" w:hAnsi="Times New Roman" w:cs="Times New Roman"/>
          <w:color w:val="000000"/>
          <w:sz w:val="20"/>
          <w:szCs w:val="20"/>
        </w:rPr>
        <w:t>s</w:t>
      </w:r>
      <w:r w:rsidRPr="00561049">
        <w:rPr>
          <w:rFonts w:ascii="Times New Roman" w:eastAsia="Times New Roman" w:hAnsi="Times New Roman" w:cs="Times New Roman"/>
          <w:color w:val="000000"/>
          <w:sz w:val="20"/>
          <w:szCs w:val="20"/>
        </w:rPr>
        <w:t>. 17.</w:t>
      </w:r>
    </w:p>
  </w:footnote>
  <w:footnote w:id="23">
    <w:p w14:paraId="00000085" w14:textId="77CA3952" w:rsidR="00313177" w:rsidRPr="00561049" w:rsidRDefault="00000000" w:rsidP="00561049">
      <w:pPr>
        <w:pBdr>
          <w:top w:val="nil"/>
          <w:left w:val="nil"/>
          <w:bottom w:val="nil"/>
          <w:right w:val="nil"/>
          <w:between w:val="nil"/>
        </w:pBdr>
        <w:spacing w:beforeLines="100" w:before="240" w:afterLines="100" w:after="240" w:line="240"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w:t>
      </w:r>
      <w:r w:rsidR="00E90288" w:rsidRPr="00561049">
        <w:rPr>
          <w:rFonts w:ascii="Times New Roman" w:eastAsia="Times New Roman" w:hAnsi="Times New Roman" w:cs="Times New Roman"/>
          <w:color w:val="000000"/>
          <w:sz w:val="20"/>
          <w:szCs w:val="20"/>
        </w:rPr>
        <w:t>s</w:t>
      </w:r>
      <w:r w:rsidRPr="00561049">
        <w:rPr>
          <w:rFonts w:ascii="Times New Roman" w:eastAsia="Times New Roman" w:hAnsi="Times New Roman" w:cs="Times New Roman"/>
          <w:color w:val="000000"/>
          <w:sz w:val="20"/>
          <w:szCs w:val="20"/>
        </w:rPr>
        <w:t>. 17.</w:t>
      </w:r>
    </w:p>
  </w:footnote>
  <w:footnote w:id="24">
    <w:p w14:paraId="4CEB876E" w14:textId="4D151841" w:rsidR="00255D49" w:rsidRPr="00561049" w:rsidRDefault="00255D49" w:rsidP="00561049">
      <w:pPr>
        <w:pStyle w:val="Textpoznpodarou"/>
        <w:spacing w:beforeLines="100" w:before="240" w:afterLines="100" w:after="240"/>
        <w:rPr>
          <w:rFonts w:ascii="Times New Roman" w:hAnsi="Times New Roman" w:cs="Times New Roman"/>
          <w:lang w:val="cs-CZ"/>
        </w:rPr>
      </w:pPr>
      <w:r w:rsidRPr="00561049">
        <w:rPr>
          <w:rStyle w:val="Znakapoznpodarou"/>
          <w:rFonts w:ascii="Times New Roman" w:hAnsi="Times New Roman" w:cs="Times New Roman"/>
        </w:rPr>
        <w:footnoteRef/>
      </w:r>
      <w:r w:rsidRPr="00561049">
        <w:rPr>
          <w:rFonts w:ascii="Times New Roman" w:hAnsi="Times New Roman" w:cs="Times New Roman"/>
        </w:rPr>
        <w:t xml:space="preserve"> </w:t>
      </w:r>
      <w:r w:rsidRPr="00561049">
        <w:rPr>
          <w:rFonts w:ascii="Times New Roman" w:hAnsi="Times New Roman" w:cs="Times New Roman"/>
          <w:lang w:val="cs-CZ"/>
        </w:rPr>
        <w:t>Tamtéž</w:t>
      </w:r>
      <w:r w:rsidR="00561049" w:rsidRPr="00561049">
        <w:rPr>
          <w:rFonts w:ascii="Times New Roman" w:hAnsi="Times New Roman" w:cs="Times New Roman"/>
          <w:lang w:val="cs-CZ"/>
        </w:rPr>
        <w:t>, s. 205–216.</w:t>
      </w:r>
    </w:p>
  </w:footnote>
  <w:footnote w:id="25">
    <w:p w14:paraId="00000086" w14:textId="113A344F"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s. 23.</w:t>
      </w:r>
    </w:p>
  </w:footnote>
  <w:footnote w:id="26">
    <w:p w14:paraId="00000087" w14:textId="619C3103"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WYSPIAŃSKI, Stanisław</w:t>
      </w:r>
      <w:r w:rsidRPr="00561049">
        <w:rPr>
          <w:rFonts w:ascii="Times New Roman" w:eastAsia="Times New Roman" w:hAnsi="Times New Roman" w:cs="Times New Roman"/>
          <w:i/>
          <w:iCs/>
          <w:sz w:val="20"/>
          <w:szCs w:val="20"/>
        </w:rPr>
        <w:t xml:space="preserve">. Acropolis – The Wawel Plays. </w:t>
      </w:r>
      <w:r w:rsidRPr="00561049">
        <w:rPr>
          <w:rFonts w:ascii="Times New Roman" w:eastAsia="Times New Roman" w:hAnsi="Times New Roman" w:cs="Times New Roman"/>
          <w:sz w:val="20"/>
          <w:szCs w:val="20"/>
        </w:rPr>
        <w:t>Online Ebook.</w:t>
      </w:r>
      <w:r w:rsidRPr="00561049">
        <w:rPr>
          <w:rFonts w:ascii="Times New Roman" w:eastAsia="Times New Roman" w:hAnsi="Times New Roman" w:cs="Times New Roman"/>
          <w:i/>
          <w:iCs/>
          <w:sz w:val="20"/>
          <w:szCs w:val="20"/>
        </w:rPr>
        <w:t xml:space="preserve"> </w:t>
      </w:r>
      <w:r w:rsidRPr="00561049">
        <w:rPr>
          <w:rFonts w:ascii="Times New Roman" w:eastAsia="Times New Roman" w:hAnsi="Times New Roman" w:cs="Times New Roman"/>
          <w:sz w:val="20"/>
          <w:szCs w:val="20"/>
        </w:rPr>
        <w:t>Přeložil Charles S. KRASZEWSKI. Glasgolav Publications, 2017. ISBN: 9781911414568. s. 2.</w:t>
      </w:r>
    </w:p>
  </w:footnote>
  <w:footnote w:id="27">
    <w:p w14:paraId="00000088"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w:t>
      </w:r>
    </w:p>
  </w:footnote>
  <w:footnote w:id="28">
    <w:p w14:paraId="00000089" w14:textId="6BCBF4B5"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Tamtéž, s. 7.</w:t>
      </w:r>
    </w:p>
  </w:footnote>
  <w:footnote w:id="29">
    <w:p w14:paraId="0000008A"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w:t>
      </w:r>
    </w:p>
  </w:footnote>
  <w:footnote w:id="30">
    <w:p w14:paraId="0000008B"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ANONYM</w:t>
      </w:r>
      <w:r w:rsidRPr="00561049">
        <w:rPr>
          <w:rFonts w:ascii="Times New Roman" w:eastAsia="Times New Roman" w:hAnsi="Times New Roman" w:cs="Times New Roman"/>
          <w:i/>
          <w:iCs/>
          <w:sz w:val="20"/>
          <w:szCs w:val="20"/>
        </w:rPr>
        <w:t>. Akropolis</w:t>
      </w:r>
      <w:r w:rsidRPr="00561049">
        <w:rPr>
          <w:rFonts w:ascii="Times New Roman" w:eastAsia="Times New Roman" w:hAnsi="Times New Roman" w:cs="Times New Roman"/>
          <w:sz w:val="20"/>
          <w:szCs w:val="20"/>
        </w:rPr>
        <w:t>. Online. GROTOWSKI.NET. 2022. Dostupné z: </w:t>
      </w:r>
      <w:hyperlink r:id="rId8">
        <w:r w:rsidR="00313177" w:rsidRPr="00561049">
          <w:rPr>
            <w:rFonts w:ascii="Times New Roman" w:eastAsia="Times New Roman" w:hAnsi="Times New Roman" w:cs="Times New Roman"/>
            <w:color w:val="000000"/>
            <w:sz w:val="20"/>
            <w:szCs w:val="20"/>
          </w:rPr>
          <w:t>https://grotowski.net/en/encyclopedia/akropolis</w:t>
        </w:r>
      </w:hyperlink>
      <w:r w:rsidRPr="00561049">
        <w:rPr>
          <w:rFonts w:ascii="Times New Roman" w:eastAsia="Times New Roman" w:hAnsi="Times New Roman" w:cs="Times New Roman"/>
          <w:sz w:val="20"/>
          <w:szCs w:val="20"/>
        </w:rPr>
        <w:t>. [cit. 2026-04-03].</w:t>
      </w:r>
    </w:p>
  </w:footnote>
  <w:footnote w:id="31">
    <w:p w14:paraId="0000008C" w14:textId="77777777"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Originální text v KOSIŃSKI, Dariusz. </w:t>
      </w:r>
      <w:r w:rsidRPr="00561049">
        <w:rPr>
          <w:rFonts w:ascii="Times New Roman" w:eastAsia="Times New Roman" w:hAnsi="Times New Roman" w:cs="Times New Roman"/>
          <w:i/>
          <w:iCs/>
          <w:color w:val="000000"/>
          <w:sz w:val="20"/>
          <w:szCs w:val="20"/>
        </w:rPr>
        <w:t>Akropolis</w:t>
      </w:r>
      <w:r w:rsidRPr="00561049">
        <w:rPr>
          <w:rFonts w:ascii="Times New Roman" w:eastAsia="Times New Roman" w:hAnsi="Times New Roman" w:cs="Times New Roman"/>
          <w:color w:val="000000"/>
          <w:sz w:val="20"/>
          <w:szCs w:val="20"/>
        </w:rPr>
        <w:t>. Online. Encyklopedia teatru polskiego. 2017. Dostupné z: </w:t>
      </w:r>
      <w:hyperlink r:id="rId9">
        <w:r w:rsidR="00313177" w:rsidRPr="00561049">
          <w:rPr>
            <w:rFonts w:ascii="Times New Roman" w:eastAsia="Times New Roman" w:hAnsi="Times New Roman" w:cs="Times New Roman"/>
            <w:color w:val="000000"/>
            <w:sz w:val="20"/>
            <w:szCs w:val="20"/>
          </w:rPr>
          <w:t>https://encyklopediateatru.pl/przedstawienie/7180/akropolis</w:t>
        </w:r>
      </w:hyperlink>
      <w:r w:rsidRPr="00561049">
        <w:rPr>
          <w:rFonts w:ascii="Times New Roman" w:eastAsia="Times New Roman" w:hAnsi="Times New Roman" w:cs="Times New Roman"/>
          <w:color w:val="000000"/>
          <w:sz w:val="20"/>
          <w:szCs w:val="20"/>
        </w:rPr>
        <w:t>. [cit. 2025-11-21]: „Sala jest pusta, widzowie znajdują się w różnych miejscach, w centrum sali znajduje się skrzynia, a na niej rury z żelaza. Z zascenia słychać hałas, grupa aktorów, którzy są jak więźniowie Oświęcimia, niesie ciężkie przedmioty do pracy; wchodzą i kierują się do środka, stają po dwóch stronach skrzyni i wypowiadają tekst klasycznego dramatu jako skargę więźniów. Jeden z nich wchodzi na skrzynię i żelazne rury i zaczyna grać na swoich skrzypcach dobrze znaną, wesołą melodię, którą grała orkiestra w Oświęcimi.“</w:t>
      </w:r>
    </w:p>
  </w:footnote>
  <w:footnote w:id="32">
    <w:p w14:paraId="0000008D"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ANONYM</w:t>
      </w:r>
      <w:r w:rsidRPr="00561049">
        <w:rPr>
          <w:rFonts w:ascii="Times New Roman" w:eastAsia="Times New Roman" w:hAnsi="Times New Roman" w:cs="Times New Roman"/>
          <w:i/>
          <w:iCs/>
          <w:sz w:val="20"/>
          <w:szCs w:val="20"/>
        </w:rPr>
        <w:t>. Akropolis</w:t>
      </w:r>
      <w:r w:rsidRPr="00561049">
        <w:rPr>
          <w:rFonts w:ascii="Times New Roman" w:eastAsia="Times New Roman" w:hAnsi="Times New Roman" w:cs="Times New Roman"/>
          <w:sz w:val="20"/>
          <w:szCs w:val="20"/>
        </w:rPr>
        <w:t>. Online. GROTOWSKI.NET. 2022. Dostupné z: </w:t>
      </w:r>
      <w:hyperlink r:id="rId10">
        <w:r w:rsidR="00313177" w:rsidRPr="00561049">
          <w:rPr>
            <w:rFonts w:ascii="Times New Roman" w:eastAsia="Times New Roman" w:hAnsi="Times New Roman" w:cs="Times New Roman"/>
            <w:color w:val="000000"/>
            <w:sz w:val="20"/>
            <w:szCs w:val="20"/>
          </w:rPr>
          <w:t>https://grotowski.net/en/encyclopedia/akropolis</w:t>
        </w:r>
      </w:hyperlink>
      <w:r w:rsidRPr="00561049">
        <w:rPr>
          <w:rFonts w:ascii="Times New Roman" w:eastAsia="Times New Roman" w:hAnsi="Times New Roman" w:cs="Times New Roman"/>
          <w:sz w:val="20"/>
          <w:szCs w:val="20"/>
        </w:rPr>
        <w:t>. [cit. 2026-04-03].</w:t>
      </w:r>
    </w:p>
  </w:footnote>
  <w:footnote w:id="33">
    <w:p w14:paraId="0000008E"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w:t>
      </w:r>
    </w:p>
  </w:footnote>
  <w:footnote w:id="34">
    <w:p w14:paraId="0000008F"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w:t>
      </w:r>
    </w:p>
  </w:footnote>
  <w:footnote w:id="35">
    <w:p w14:paraId="00000090"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w:t>
      </w:r>
      <w:r w:rsidRPr="00561049">
        <w:rPr>
          <w:rFonts w:ascii="Times New Roman" w:eastAsia="Times New Roman" w:hAnsi="Times New Roman" w:cs="Times New Roman"/>
          <w:i/>
          <w:iCs/>
          <w:sz w:val="20"/>
          <w:szCs w:val="20"/>
        </w:rPr>
        <w:t>The Constant Prince (Książę Niezłomny).</w:t>
      </w:r>
      <w:r w:rsidRPr="00561049">
        <w:rPr>
          <w:rFonts w:ascii="Times New Roman" w:eastAsia="Times New Roman" w:hAnsi="Times New Roman" w:cs="Times New Roman"/>
          <w:sz w:val="20"/>
          <w:szCs w:val="20"/>
        </w:rPr>
        <w:t xml:space="preserve"> Online. GROTOWSKI.NET. 2025. Dostupné z: </w:t>
      </w:r>
      <w:hyperlink r:id="rId11">
        <w:r w:rsidR="00313177" w:rsidRPr="00561049">
          <w:rPr>
            <w:rFonts w:ascii="Times New Roman" w:eastAsia="Times New Roman" w:hAnsi="Times New Roman" w:cs="Times New Roman"/>
            <w:color w:val="467886"/>
            <w:sz w:val="20"/>
            <w:szCs w:val="20"/>
            <w:u w:val="single"/>
          </w:rPr>
          <w:t>https://grotowski.net/en/encyclopedia/constant-prince-ksiaze-niezlomny</w:t>
        </w:r>
      </w:hyperlink>
      <w:r w:rsidRPr="00561049">
        <w:rPr>
          <w:rFonts w:ascii="Times New Roman" w:eastAsia="Times New Roman" w:hAnsi="Times New Roman" w:cs="Times New Roman"/>
          <w:sz w:val="20"/>
          <w:szCs w:val="20"/>
        </w:rPr>
        <w:t>. [cit. 2026-05-010]</w:t>
      </w:r>
    </w:p>
  </w:footnote>
  <w:footnote w:id="36">
    <w:p w14:paraId="67595FFA" w14:textId="203F31AF" w:rsidR="00E90288" w:rsidRPr="00561049" w:rsidRDefault="00E90288"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Style w:val="Znakapoznpodarou"/>
          <w:rFonts w:ascii="Times New Roman" w:hAnsi="Times New Roman" w:cs="Times New Roman"/>
          <w:sz w:val="20"/>
          <w:szCs w:val="20"/>
        </w:rPr>
        <w:footnoteRef/>
      </w:r>
      <w:r w:rsidRPr="00561049">
        <w:rPr>
          <w:rFonts w:ascii="Times New Roman" w:hAnsi="Times New Roman" w:cs="Times New Roman"/>
          <w:sz w:val="20"/>
          <w:szCs w:val="20"/>
        </w:rPr>
        <w:t xml:space="preserve"> </w:t>
      </w:r>
      <w:r w:rsidRPr="00561049">
        <w:rPr>
          <w:rFonts w:ascii="Times New Roman" w:eastAsia="Times New Roman" w:hAnsi="Times New Roman" w:cs="Times New Roman"/>
          <w:color w:val="000000"/>
          <w:sz w:val="20"/>
          <w:szCs w:val="20"/>
        </w:rPr>
        <w:t>BRAUN, Kazimierz. Druhá divadelní reforma? Praha: Divadelní ústav, 1993, s. 119.</w:t>
      </w:r>
    </w:p>
  </w:footnote>
  <w:footnote w:id="37">
    <w:p w14:paraId="7B84B86D" w14:textId="262F997C" w:rsidR="00E90288" w:rsidRPr="00561049" w:rsidRDefault="00E90288" w:rsidP="00561049">
      <w:pPr>
        <w:pStyle w:val="Textpoznpodarou"/>
        <w:spacing w:beforeLines="100" w:before="240" w:afterLines="100" w:after="240"/>
        <w:rPr>
          <w:rFonts w:ascii="Times New Roman" w:hAnsi="Times New Roman" w:cs="Times New Roman"/>
          <w:lang w:val="cs-CZ"/>
        </w:rPr>
      </w:pPr>
      <w:r w:rsidRPr="00561049">
        <w:rPr>
          <w:rStyle w:val="Znakapoznpodarou"/>
          <w:rFonts w:ascii="Times New Roman" w:hAnsi="Times New Roman" w:cs="Times New Roman"/>
        </w:rPr>
        <w:footnoteRef/>
      </w:r>
      <w:r w:rsidRPr="00561049">
        <w:rPr>
          <w:rFonts w:ascii="Times New Roman" w:hAnsi="Times New Roman" w:cs="Times New Roman"/>
        </w:rPr>
        <w:t xml:space="preserve"> Tamtéž, s. 120</w:t>
      </w:r>
    </w:p>
  </w:footnote>
  <w:footnote w:id="38">
    <w:p w14:paraId="00000091" w14:textId="6EC4D0FA"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GROTOWSKI, Jerzy (1991). Divadlo a Rituál. </w:t>
      </w:r>
      <w:r w:rsidRPr="00561049">
        <w:rPr>
          <w:rFonts w:ascii="Times New Roman" w:eastAsia="Times New Roman" w:hAnsi="Times New Roman" w:cs="Times New Roman"/>
          <w:i/>
          <w:iCs/>
          <w:color w:val="000000"/>
          <w:sz w:val="20"/>
          <w:szCs w:val="20"/>
        </w:rPr>
        <w:t>Svět a divadlo</w:t>
      </w:r>
      <w:r w:rsidRPr="00561049">
        <w:rPr>
          <w:rFonts w:ascii="Times New Roman" w:eastAsia="Times New Roman" w:hAnsi="Times New Roman" w:cs="Times New Roman"/>
          <w:color w:val="000000"/>
          <w:sz w:val="20"/>
          <w:szCs w:val="20"/>
        </w:rPr>
        <w:t>, roč. 2, č. 9, s. 50–62.</w:t>
      </w:r>
    </w:p>
  </w:footnote>
  <w:footnote w:id="39">
    <w:p w14:paraId="00000092" w14:textId="77777777" w:rsidR="00313177" w:rsidRPr="00561049" w:rsidRDefault="00000000" w:rsidP="00561049">
      <w:pPr>
        <w:spacing w:beforeLines="100" w:before="240" w:afterLines="100" w:after="240" w:line="276" w:lineRule="auto"/>
        <w:jc w:val="both"/>
        <w:rPr>
          <w:rFonts w:ascii="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Tamtéž</w:t>
      </w:r>
    </w:p>
  </w:footnote>
  <w:footnote w:id="40">
    <w:p w14:paraId="75E3F25F" w14:textId="20506886" w:rsidR="00561049" w:rsidRPr="00561049" w:rsidRDefault="00561049"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Style w:val="Znakapoznpodarou"/>
          <w:rFonts w:ascii="Times New Roman" w:hAnsi="Times New Roman" w:cs="Times New Roman"/>
          <w:sz w:val="20"/>
          <w:szCs w:val="20"/>
        </w:rPr>
        <w:footnoteRef/>
      </w:r>
      <w:r w:rsidRPr="00561049">
        <w:rPr>
          <w:rFonts w:ascii="Times New Roman" w:hAnsi="Times New Roman" w:cs="Times New Roman"/>
          <w:sz w:val="20"/>
          <w:szCs w:val="20"/>
        </w:rPr>
        <w:t xml:space="preserve"> </w:t>
      </w:r>
      <w:r w:rsidRPr="00561049">
        <w:rPr>
          <w:rFonts w:ascii="Times New Roman" w:eastAsia="Times New Roman" w:hAnsi="Times New Roman" w:cs="Times New Roman"/>
          <w:sz w:val="20"/>
          <w:szCs w:val="20"/>
        </w:rPr>
        <w:t xml:space="preserve">OSIŃSKI, Zbigniew. </w:t>
      </w:r>
      <w:r w:rsidRPr="00561049">
        <w:rPr>
          <w:rFonts w:ascii="Times New Roman" w:eastAsia="Times New Roman" w:hAnsi="Times New Roman" w:cs="Times New Roman"/>
          <w:i/>
          <w:iCs/>
          <w:sz w:val="20"/>
          <w:szCs w:val="20"/>
        </w:rPr>
        <w:t xml:space="preserve">Jerzy Grotowski, źródła, inspiracje, konteksty. </w:t>
      </w:r>
      <w:r w:rsidRPr="00561049">
        <w:rPr>
          <w:rFonts w:ascii="Times New Roman" w:eastAsia="Times New Roman" w:hAnsi="Times New Roman" w:cs="Times New Roman"/>
          <w:sz w:val="20"/>
          <w:szCs w:val="20"/>
        </w:rPr>
        <w:t>Gdańsk: Wydawcnitwo słowo/obraz terytoria, 1998</w:t>
      </w:r>
      <w:r>
        <w:rPr>
          <w:rFonts w:ascii="Times New Roman" w:eastAsia="Times New Roman" w:hAnsi="Times New Roman" w:cs="Times New Roman"/>
          <w:sz w:val="20"/>
          <w:szCs w:val="20"/>
        </w:rPr>
        <w:t>, s. 135.</w:t>
      </w:r>
    </w:p>
  </w:footnote>
  <w:footnote w:id="41">
    <w:p w14:paraId="000000A0" w14:textId="2B3312F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WYSPIAŃSKI, Stanisław</w:t>
      </w:r>
      <w:r w:rsidRPr="00561049">
        <w:rPr>
          <w:rFonts w:ascii="Times New Roman" w:eastAsia="Times New Roman" w:hAnsi="Times New Roman" w:cs="Times New Roman"/>
          <w:i/>
          <w:iCs/>
          <w:sz w:val="20"/>
          <w:szCs w:val="20"/>
        </w:rPr>
        <w:t xml:space="preserve">. Acropolis – The Wawel Plays. </w:t>
      </w:r>
      <w:r w:rsidRPr="00561049">
        <w:rPr>
          <w:rFonts w:ascii="Times New Roman" w:eastAsia="Times New Roman" w:hAnsi="Times New Roman" w:cs="Times New Roman"/>
          <w:sz w:val="20"/>
          <w:szCs w:val="20"/>
        </w:rPr>
        <w:t>Online Ebook.</w:t>
      </w:r>
      <w:r w:rsidRPr="00561049">
        <w:rPr>
          <w:rFonts w:ascii="Times New Roman" w:eastAsia="Times New Roman" w:hAnsi="Times New Roman" w:cs="Times New Roman"/>
          <w:i/>
          <w:iCs/>
          <w:sz w:val="20"/>
          <w:szCs w:val="20"/>
        </w:rPr>
        <w:t xml:space="preserve"> </w:t>
      </w:r>
      <w:r w:rsidRPr="00561049">
        <w:rPr>
          <w:rFonts w:ascii="Times New Roman" w:eastAsia="Times New Roman" w:hAnsi="Times New Roman" w:cs="Times New Roman"/>
          <w:sz w:val="20"/>
          <w:szCs w:val="20"/>
        </w:rPr>
        <w:t>Přeložil Charles S. KRASZEWSKI. Glasgolav Publications, 2017. ISBN: 9781911414568, s. 385.</w:t>
      </w:r>
    </w:p>
    <w:p w14:paraId="000000A1" w14:textId="77777777" w:rsidR="00313177" w:rsidRPr="00561049" w:rsidRDefault="00313177" w:rsidP="00561049">
      <w:pPr>
        <w:spacing w:beforeLines="100" w:before="240" w:afterLines="100" w:after="240" w:line="240" w:lineRule="auto"/>
        <w:rPr>
          <w:rFonts w:ascii="Times New Roman" w:hAnsi="Times New Roman" w:cs="Times New Roman"/>
          <w:sz w:val="20"/>
          <w:szCs w:val="20"/>
        </w:rPr>
      </w:pPr>
    </w:p>
  </w:footnote>
  <w:footnote w:id="42">
    <w:p w14:paraId="00000093" w14:textId="5425C87E"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BRAUN, Kazimierz. Druhá divadelní reforma? Praha: Divadelní ústav, 1993.</w:t>
      </w:r>
    </w:p>
  </w:footnote>
  <w:footnote w:id="43">
    <w:p w14:paraId="00000094" w14:textId="41911E42"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LEHMANN, Hans-Thies. </w:t>
      </w:r>
      <w:r w:rsidRPr="00561049">
        <w:rPr>
          <w:rFonts w:ascii="Times New Roman" w:eastAsia="Times New Roman" w:hAnsi="Times New Roman" w:cs="Times New Roman"/>
          <w:i/>
          <w:iCs/>
          <w:sz w:val="20"/>
          <w:szCs w:val="20"/>
        </w:rPr>
        <w:t>Postdramatické divadlo.</w:t>
      </w:r>
      <w:r w:rsidRPr="00561049">
        <w:rPr>
          <w:rFonts w:ascii="Times New Roman" w:eastAsia="Times New Roman" w:hAnsi="Times New Roman" w:cs="Times New Roman"/>
          <w:sz w:val="20"/>
          <w:szCs w:val="20"/>
        </w:rPr>
        <w:t xml:space="preserve"> Divadelní ústav: Bratislava, 2007, s. 60.</w:t>
      </w:r>
    </w:p>
  </w:footnote>
  <w:footnote w:id="44">
    <w:p w14:paraId="00000095" w14:textId="63251DD1" w:rsidR="00313177" w:rsidRPr="00561049" w:rsidRDefault="00000000" w:rsidP="00561049">
      <w:pPr>
        <w:pBdr>
          <w:top w:val="nil"/>
          <w:left w:val="nil"/>
          <w:bottom w:val="nil"/>
          <w:right w:val="nil"/>
          <w:between w:val="nil"/>
        </w:pBdr>
        <w:spacing w:beforeLines="100" w:before="240" w:afterLines="100" w:after="240" w:line="276" w:lineRule="auto"/>
        <w:rPr>
          <w:rFonts w:ascii="Times New Roman" w:eastAsia="Times New Roman" w:hAnsi="Times New Roman" w:cs="Times New Roman"/>
          <w:color w:val="000000"/>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color w:val="000000"/>
          <w:sz w:val="20"/>
          <w:szCs w:val="20"/>
        </w:rPr>
        <w:t xml:space="preserve"> GROTOWSKI, Jerzy. Divadlo a Rituál. </w:t>
      </w:r>
      <w:r w:rsidRPr="00561049">
        <w:rPr>
          <w:rFonts w:ascii="Times New Roman" w:eastAsia="Times New Roman" w:hAnsi="Times New Roman" w:cs="Times New Roman"/>
          <w:i/>
          <w:iCs/>
          <w:color w:val="000000"/>
          <w:sz w:val="20"/>
          <w:szCs w:val="20"/>
        </w:rPr>
        <w:t>Svět a divadlo</w:t>
      </w:r>
      <w:r w:rsidRPr="00561049">
        <w:rPr>
          <w:rFonts w:ascii="Times New Roman" w:eastAsia="Times New Roman" w:hAnsi="Times New Roman" w:cs="Times New Roman"/>
          <w:color w:val="000000"/>
          <w:sz w:val="20"/>
          <w:szCs w:val="20"/>
        </w:rPr>
        <w:t>, roč. 2</w:t>
      </w:r>
      <w:r w:rsidR="00013786">
        <w:rPr>
          <w:rFonts w:ascii="Times New Roman" w:eastAsia="Times New Roman" w:hAnsi="Times New Roman" w:cs="Times New Roman"/>
          <w:color w:val="000000"/>
          <w:sz w:val="20"/>
          <w:szCs w:val="20"/>
        </w:rPr>
        <w:t xml:space="preserve"> (1991)</w:t>
      </w:r>
      <w:r w:rsidRPr="00561049">
        <w:rPr>
          <w:rFonts w:ascii="Times New Roman" w:eastAsia="Times New Roman" w:hAnsi="Times New Roman" w:cs="Times New Roman"/>
          <w:color w:val="000000"/>
          <w:sz w:val="20"/>
          <w:szCs w:val="20"/>
        </w:rPr>
        <w:t>, č. 9, s. 50–62.</w:t>
      </w:r>
    </w:p>
  </w:footnote>
  <w:footnote w:id="45">
    <w:p w14:paraId="00000096" w14:textId="77777777" w:rsidR="00313177" w:rsidRPr="00561049" w:rsidRDefault="00000000" w:rsidP="00561049">
      <w:pPr>
        <w:spacing w:beforeLines="100" w:before="240" w:afterLines="100" w:after="240" w:line="276" w:lineRule="auto"/>
        <w:jc w:val="both"/>
        <w:rPr>
          <w:rFonts w:ascii="Times New Roman" w:eastAsia="Times New Roman" w:hAnsi="Times New Roman" w:cs="Times New Roman"/>
          <w:sz w:val="20"/>
          <w:szCs w:val="20"/>
        </w:rPr>
      </w:pPr>
      <w:r w:rsidRPr="00561049">
        <w:rPr>
          <w:rFonts w:ascii="Times New Roman" w:hAnsi="Times New Roman" w:cs="Times New Roman"/>
          <w:sz w:val="20"/>
          <w:szCs w:val="20"/>
          <w:vertAlign w:val="superscript"/>
        </w:rPr>
        <w:footnoteRef/>
      </w:r>
      <w:r w:rsidRPr="00561049">
        <w:rPr>
          <w:rFonts w:ascii="Times New Roman" w:eastAsia="Times New Roman" w:hAnsi="Times New Roman" w:cs="Times New Roman"/>
          <w:sz w:val="20"/>
          <w:szCs w:val="20"/>
        </w:rPr>
        <w:t xml:space="preserve"> ADORNO, Theodor. </w:t>
      </w:r>
      <w:r w:rsidRPr="00561049">
        <w:rPr>
          <w:rFonts w:ascii="Times New Roman" w:eastAsia="Times New Roman" w:hAnsi="Times New Roman" w:cs="Times New Roman"/>
          <w:i/>
          <w:iCs/>
          <w:sz w:val="20"/>
          <w:szCs w:val="20"/>
        </w:rPr>
        <w:t>Dialektika osvícenství</w:t>
      </w:r>
      <w:r w:rsidRPr="00561049">
        <w:rPr>
          <w:rFonts w:ascii="Times New Roman" w:eastAsia="Times New Roman" w:hAnsi="Times New Roman" w:cs="Times New Roman"/>
          <w:sz w:val="20"/>
          <w:szCs w:val="20"/>
        </w:rPr>
        <w:t>. Praha: Oikoymenh,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7" w14:textId="77777777" w:rsidR="00313177" w:rsidRDefault="00313177">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8" w14:textId="77777777" w:rsidR="00313177" w:rsidRDefault="00313177">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77777777" w:rsidR="00313177" w:rsidRDefault="00313177">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77"/>
    <w:rsid w:val="00013786"/>
    <w:rsid w:val="00013DB7"/>
    <w:rsid w:val="00150910"/>
    <w:rsid w:val="00255D49"/>
    <w:rsid w:val="00313177"/>
    <w:rsid w:val="003553EA"/>
    <w:rsid w:val="004938CC"/>
    <w:rsid w:val="00561049"/>
    <w:rsid w:val="0064546A"/>
    <w:rsid w:val="006E3F77"/>
    <w:rsid w:val="00782BBD"/>
    <w:rsid w:val="00833E6E"/>
    <w:rsid w:val="00B94469"/>
    <w:rsid w:val="00DA6455"/>
    <w:rsid w:val="00E90288"/>
    <w:rsid w:val="00F71E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84AF"/>
  <w15:docId w15:val="{12691C1C-DCF8-4FE9-B60A-36E02BF9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cs" w:eastAsia="cs-C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240"/>
      <w:outlineLvl w:val="0"/>
    </w:pPr>
    <w:rPr>
      <w:rFonts w:ascii="Times New Roman" w:eastAsia="Times New Roman" w:hAnsi="Times New Roman" w:cs="Times New Roman"/>
      <w:b/>
      <w:bCs/>
      <w:sz w:val="28"/>
      <w:szCs w:val="28"/>
    </w:rPr>
  </w:style>
  <w:style w:type="paragraph" w:styleId="Nadpis2">
    <w:name w:val="heading 2"/>
    <w:basedOn w:val="Normln"/>
    <w:next w:val="Normln"/>
    <w:uiPriority w:val="9"/>
    <w:unhideWhenUsed/>
    <w:qFormat/>
    <w:pPr>
      <w:keepNext/>
      <w:keepLines/>
      <w:spacing w:before="160" w:after="240"/>
      <w:outlineLvl w:val="1"/>
    </w:pPr>
    <w:rPr>
      <w:rFonts w:ascii="Times New Roman" w:eastAsia="Times New Roman" w:hAnsi="Times New Roman" w:cs="Times New Roman"/>
      <w:b/>
      <w:bCs/>
      <w:color w:val="000000"/>
    </w:rPr>
  </w:style>
  <w:style w:type="paragraph" w:styleId="Nadpis3">
    <w:name w:val="heading 3"/>
    <w:basedOn w:val="Normln"/>
    <w:next w:val="Normln"/>
    <w:uiPriority w:val="9"/>
    <w:semiHidden/>
    <w:unhideWhenUsed/>
    <w:qFormat/>
    <w:pPr>
      <w:keepNext/>
      <w:keepLines/>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i/>
      <w:iCs/>
      <w:color w:val="0F4761"/>
    </w:rPr>
  </w:style>
  <w:style w:type="paragraph" w:styleId="Nadpis5">
    <w:name w:val="heading 5"/>
    <w:basedOn w:val="Normln"/>
    <w:next w:val="Normln"/>
    <w:uiPriority w:val="9"/>
    <w:semiHidden/>
    <w:unhideWhenUsed/>
    <w:qFormat/>
    <w:pPr>
      <w:keepNext/>
      <w:keepLines/>
      <w:spacing w:before="80" w:after="40"/>
      <w:outlineLvl w:val="4"/>
    </w:pPr>
    <w:rPr>
      <w:color w:val="0F4761"/>
    </w:rPr>
  </w:style>
  <w:style w:type="paragraph" w:styleId="Nadpis6">
    <w:name w:val="heading 6"/>
    <w:basedOn w:val="Normln"/>
    <w:next w:val="Normln"/>
    <w:uiPriority w:val="9"/>
    <w:semiHidden/>
    <w:unhideWhenUsed/>
    <w:qFormat/>
    <w:pPr>
      <w:keepNext/>
      <w:keepLines/>
      <w:spacing w:before="40" w:after="0"/>
      <w:outlineLvl w:val="5"/>
    </w:pPr>
    <w:rPr>
      <w:i/>
      <w:iCs/>
      <w:color w:val="59595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line="240" w:lineRule="auto"/>
    </w:pPr>
    <w:rPr>
      <w:rFonts w:ascii="Play" w:eastAsia="Play" w:hAnsi="Play" w:cs="Play"/>
      <w:sz w:val="56"/>
      <w:szCs w:val="56"/>
    </w:rPr>
  </w:style>
  <w:style w:type="paragraph" w:styleId="Podnadpis">
    <w:name w:val="Subtitle"/>
    <w:basedOn w:val="Normln"/>
    <w:next w:val="Normln"/>
    <w:uiPriority w:val="11"/>
    <w:qFormat/>
    <w:rPr>
      <w:color w:val="595959"/>
      <w:sz w:val="28"/>
      <w:szCs w:val="28"/>
    </w:rPr>
  </w:style>
  <w:style w:type="paragraph" w:styleId="Nadpisobsahu">
    <w:name w:val="TOC Heading"/>
    <w:basedOn w:val="Nadpis1"/>
    <w:next w:val="Normln"/>
    <w:uiPriority w:val="39"/>
    <w:unhideWhenUsed/>
    <w:qFormat/>
    <w:rsid w:val="00E90288"/>
    <w:pP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cs-CZ"/>
    </w:rPr>
  </w:style>
  <w:style w:type="paragraph" w:styleId="Obsah1">
    <w:name w:val="toc 1"/>
    <w:basedOn w:val="Normln"/>
    <w:next w:val="Normln"/>
    <w:autoRedefine/>
    <w:uiPriority w:val="39"/>
    <w:unhideWhenUsed/>
    <w:rsid w:val="00E90288"/>
    <w:pPr>
      <w:spacing w:after="100"/>
    </w:pPr>
  </w:style>
  <w:style w:type="paragraph" w:styleId="Obsah2">
    <w:name w:val="toc 2"/>
    <w:basedOn w:val="Normln"/>
    <w:next w:val="Normln"/>
    <w:autoRedefine/>
    <w:uiPriority w:val="39"/>
    <w:unhideWhenUsed/>
    <w:rsid w:val="00E90288"/>
    <w:pPr>
      <w:spacing w:after="100"/>
      <w:ind w:left="240"/>
    </w:pPr>
  </w:style>
  <w:style w:type="character" w:styleId="Hypertextovodkaz">
    <w:name w:val="Hyperlink"/>
    <w:basedOn w:val="Standardnpsmoodstavce"/>
    <w:uiPriority w:val="99"/>
    <w:unhideWhenUsed/>
    <w:rsid w:val="00E90288"/>
    <w:rPr>
      <w:color w:val="0000FF" w:themeColor="hyperlink"/>
      <w:u w:val="single"/>
    </w:rPr>
  </w:style>
  <w:style w:type="paragraph" w:styleId="Textpoznpodarou">
    <w:name w:val="footnote text"/>
    <w:basedOn w:val="Normln"/>
    <w:link w:val="TextpoznpodarouChar"/>
    <w:uiPriority w:val="99"/>
    <w:semiHidden/>
    <w:unhideWhenUsed/>
    <w:rsid w:val="00E9028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90288"/>
    <w:rPr>
      <w:sz w:val="20"/>
      <w:szCs w:val="20"/>
    </w:rPr>
  </w:style>
  <w:style w:type="character" w:styleId="Znakapoznpodarou">
    <w:name w:val="footnote reference"/>
    <w:basedOn w:val="Standardnpsmoodstavce"/>
    <w:uiPriority w:val="99"/>
    <w:semiHidden/>
    <w:unhideWhenUsed/>
    <w:rsid w:val="00E90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otowski.net/en/encyclopedia/akropolis" TargetMode="External"/><Relationship Id="rId13" Type="http://schemas.openxmlformats.org/officeDocument/2006/relationships/hyperlink" Target="https://www.jstor.org/stable/2016388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ournals.openedition.org/trans/44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cyklopediateatru.pl/osoby/10275/jerzy-grotowsk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cyklopediateatru.pl/przedstawienie/7180/akropoli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dh.idu.cz/" TargetMode="External"/><Relationship Id="rId14" Type="http://schemas.openxmlformats.org/officeDocument/2006/relationships/hyperlink" Target="https://grotowski.net/en/encyclopedia/constant-prince-ksiaze-niezlomn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grotowski.net/en/encyclopedia/akropolis" TargetMode="External"/><Relationship Id="rId3" Type="http://schemas.openxmlformats.org/officeDocument/2006/relationships/hyperlink" Target="https://encyklopediateatru.pl/osoby/10275/jerzy-grotowski" TargetMode="External"/><Relationship Id="rId7" Type="http://schemas.openxmlformats.org/officeDocument/2006/relationships/hyperlink" Target="https://ldh.idu.cz/" TargetMode="External"/><Relationship Id="rId2" Type="http://schemas.openxmlformats.org/officeDocument/2006/relationships/hyperlink" Target="https://www.jstor.org/stable/20163888" TargetMode="External"/><Relationship Id="rId1" Type="http://schemas.openxmlformats.org/officeDocument/2006/relationships/hyperlink" Target="http://journals.openedition.org/trans/443" TargetMode="External"/><Relationship Id="rId6" Type="http://schemas.openxmlformats.org/officeDocument/2006/relationships/hyperlink" Target="https://ldh.idu.cz/" TargetMode="External"/><Relationship Id="rId11" Type="http://schemas.openxmlformats.org/officeDocument/2006/relationships/hyperlink" Target="https://grotowski.net/en/encyclopedia/constant-prince-ksiaze-niezlomny" TargetMode="External"/><Relationship Id="rId5" Type="http://schemas.openxmlformats.org/officeDocument/2006/relationships/hyperlink" Target="https://encyklopediateatru.pl/osoby/10275/jerzy-grotowski" TargetMode="External"/><Relationship Id="rId10" Type="http://schemas.openxmlformats.org/officeDocument/2006/relationships/hyperlink" Target="https://grotowski.net/en/encyclopedia/akropolis" TargetMode="External"/><Relationship Id="rId4" Type="http://schemas.openxmlformats.org/officeDocument/2006/relationships/hyperlink" Target="https://ldh.idu.cz/" TargetMode="External"/><Relationship Id="rId9" Type="http://schemas.openxmlformats.org/officeDocument/2006/relationships/hyperlink" Target="https://encyklopediateatru.pl/przedstawienie/7180/akropo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6gRobXreNzs0Qk+V5H5Q1mndhQ==">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</go:docsCustomData>
</go:gDocsCustomXmlDataStorage>
</file>

<file path=customXml/itemProps1.xml><?xml version="1.0" encoding="utf-8"?>
<ds:datastoreItem xmlns:ds="http://schemas.openxmlformats.org/officeDocument/2006/customXml" ds:itemID="{722A5492-99B0-4CD2-98E5-CFCA235CE55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Pages>
  <Words>4791</Words>
  <Characters>28124</Characters>
  <Application>Microsoft Office Word</Application>
  <DocSecurity>0</DocSecurity>
  <Lines>432</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Hladík, Lukáš</cp:lastModifiedBy>
  <cp:revision>10</cp:revision>
  <dcterms:created xsi:type="dcterms:W3CDTF">2026-06-04T19:27:00Z</dcterms:created>
  <dcterms:modified xsi:type="dcterms:W3CDTF">2026-06-04T20:59:00Z</dcterms:modified>
</cp:coreProperties>
</file>