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9765" w14:textId="029A86A3" w:rsidR="001E2EA9" w:rsidRPr="001E2EA9" w:rsidRDefault="001E2EA9" w:rsidP="001E2EA9">
      <w:pPr>
        <w:pStyle w:val="Nzev"/>
        <w:jc w:val="center"/>
        <w:rPr>
          <w:rFonts w:ascii="Times New Roman" w:hAnsi="Times New Roman" w:cs="Times New Roman"/>
          <w:b/>
          <w:bCs/>
        </w:rPr>
      </w:pPr>
      <w:r w:rsidRPr="001E2EA9">
        <w:rPr>
          <w:rFonts w:ascii="Times New Roman" w:hAnsi="Times New Roman" w:cs="Times New Roman"/>
          <w:b/>
          <w:bCs/>
        </w:rPr>
        <w:t>EU</w:t>
      </w:r>
    </w:p>
    <w:p w14:paraId="6E54C63E" w14:textId="259171B0" w:rsidR="00975AAD" w:rsidRPr="00975AAD" w:rsidRDefault="00975AAD" w:rsidP="00975AAD">
      <w:pPr>
        <w:pStyle w:val="Nadpis1"/>
        <w:numPr>
          <w:ilvl w:val="0"/>
          <w:numId w:val="3"/>
        </w:numPr>
        <w:rPr>
          <w:rFonts w:ascii="Times New Roman" w:hAnsi="Times New Roman" w:cs="Times New Roman"/>
          <w:sz w:val="36"/>
          <w:szCs w:val="36"/>
        </w:rPr>
      </w:pPr>
      <w:r w:rsidRPr="00975AAD">
        <w:rPr>
          <w:rFonts w:ascii="Times New Roman" w:hAnsi="Times New Roman" w:cs="Times New Roman"/>
          <w:sz w:val="36"/>
          <w:szCs w:val="36"/>
        </w:rPr>
        <w:t>Structure of an EU legal act</w:t>
      </w:r>
    </w:p>
    <w:p w14:paraId="01AC048D" w14:textId="77777777" w:rsidR="001E2EA9" w:rsidRDefault="001E2EA9" w:rsidP="001E2EA9">
      <w:pPr>
        <w:pStyle w:val="Odstavecseseznamem"/>
        <w:spacing w:after="120" w:line="240" w:lineRule="auto"/>
        <w:ind w:left="530"/>
      </w:pPr>
    </w:p>
    <w:p w14:paraId="4D4CE959" w14:textId="42066EF4" w:rsidR="00F93833" w:rsidRDefault="00975AAD">
      <w:r w:rsidRPr="00A821C3">
        <w:rPr>
          <w:noProof/>
        </w:rPr>
        <w:drawing>
          <wp:inline distT="0" distB="0" distL="0" distR="0" wp14:anchorId="0BDB54DF" wp14:editId="2541C1D6">
            <wp:extent cx="5760720" cy="3553460"/>
            <wp:effectExtent l="0" t="0" r="0" b="8890"/>
            <wp:docPr id="1242255729" name="Obrázek 1242255729" descr="Obsah obrázku text, diagram, Plán,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78145" name="Obrázek 1" descr="Obsah obrázku text, diagram, Plán, řada/pruh&#10;&#10;Popis byl vytvořen automaticky"/>
                    <pic:cNvPicPr/>
                  </pic:nvPicPr>
                  <pic:blipFill>
                    <a:blip r:embed="rId7"/>
                    <a:stretch>
                      <a:fillRect/>
                    </a:stretch>
                  </pic:blipFill>
                  <pic:spPr>
                    <a:xfrm>
                      <a:off x="0" y="0"/>
                      <a:ext cx="5760720" cy="3553460"/>
                    </a:xfrm>
                    <a:prstGeom prst="rect">
                      <a:avLst/>
                    </a:prstGeom>
                  </pic:spPr>
                </pic:pic>
              </a:graphicData>
            </a:graphic>
          </wp:inline>
        </w:drawing>
      </w:r>
    </w:p>
    <w:p w14:paraId="01D4D7E0" w14:textId="77777777" w:rsidR="00975AAD" w:rsidRDefault="00975AAD"/>
    <w:p w14:paraId="2EE96332" w14:textId="1DE1189D" w:rsidR="00F34472" w:rsidRPr="00F34472" w:rsidRDefault="00F34472" w:rsidP="00F34472">
      <w:pPr>
        <w:pStyle w:val="Nadpis1"/>
        <w:numPr>
          <w:ilvl w:val="0"/>
          <w:numId w:val="3"/>
        </w:numPr>
        <w:rPr>
          <w:rFonts w:ascii="Times New Roman" w:hAnsi="Times New Roman" w:cs="Times New Roman"/>
          <w:sz w:val="36"/>
          <w:szCs w:val="36"/>
        </w:rPr>
      </w:pPr>
      <w:r w:rsidRPr="00906ECE">
        <w:rPr>
          <w:rFonts w:ascii="Times New Roman" w:hAnsi="Times New Roman" w:cs="Times New Roman"/>
          <w:sz w:val="36"/>
          <w:szCs w:val="36"/>
        </w:rPr>
        <w:t>Structure of an EU legal act</w:t>
      </w:r>
      <w:r w:rsidR="003037E6">
        <w:rPr>
          <w:rFonts w:ascii="Times New Roman" w:hAnsi="Times New Roman" w:cs="Times New Roman"/>
          <w:sz w:val="36"/>
          <w:szCs w:val="36"/>
        </w:rPr>
        <w:t xml:space="preserve"> - examples</w:t>
      </w:r>
    </w:p>
    <w:p w14:paraId="4A8F543F" w14:textId="77777777" w:rsidR="00F34472" w:rsidRDefault="00F34472" w:rsidP="00F34472">
      <w:pPr>
        <w:spacing w:after="0"/>
        <w:ind w:left="357"/>
        <w:rPr>
          <w:rFonts w:ascii="Times New Roman" w:hAnsi="Times New Roman" w:cs="Times New Roman"/>
          <w:b/>
          <w:bCs/>
          <w:lang w:val="cs-CZ"/>
        </w:rPr>
      </w:pPr>
      <w:r w:rsidRPr="001152DE">
        <w:rPr>
          <w:rFonts w:ascii="Times New Roman" w:hAnsi="Times New Roman" w:cs="Times New Roman"/>
          <w:b/>
          <w:bCs/>
          <w:lang w:val="cs-CZ"/>
        </w:rPr>
        <w:t>Articles</w:t>
      </w:r>
    </w:p>
    <w:p w14:paraId="779FE1FB" w14:textId="77777777" w:rsidR="00F34472" w:rsidRPr="001152DE" w:rsidRDefault="00F34472" w:rsidP="00F34472">
      <w:pPr>
        <w:spacing w:after="0"/>
        <w:ind w:left="357"/>
        <w:rPr>
          <w:rFonts w:ascii="Times New Roman" w:hAnsi="Times New Roman" w:cs="Times New Roman"/>
          <w:b/>
          <w:bCs/>
          <w:lang w:val="cs-CZ"/>
        </w:rPr>
      </w:pPr>
      <w:r w:rsidRPr="001152DE">
        <w:rPr>
          <w:rFonts w:ascii="Times New Roman" w:hAnsi="Times New Roman" w:cs="Times New Roman"/>
          <w:b/>
          <w:bCs/>
          <w:lang w:val="cs-CZ"/>
        </w:rPr>
        <w:t>Citations</w:t>
      </w:r>
      <w:r>
        <w:rPr>
          <w:rFonts w:ascii="Times New Roman" w:hAnsi="Times New Roman" w:cs="Times New Roman"/>
          <w:b/>
          <w:bCs/>
          <w:lang w:val="cs-CZ"/>
        </w:rPr>
        <w:t xml:space="preserve"> (legal basis)</w:t>
      </w:r>
    </w:p>
    <w:p w14:paraId="4BAD4601" w14:textId="77777777" w:rsidR="00F34472" w:rsidRPr="001152DE" w:rsidRDefault="00F34472" w:rsidP="00F34472">
      <w:pPr>
        <w:spacing w:after="0"/>
        <w:ind w:left="357"/>
        <w:rPr>
          <w:rFonts w:ascii="Times New Roman" w:hAnsi="Times New Roman" w:cs="Times New Roman"/>
          <w:b/>
          <w:bCs/>
          <w:lang w:val="cs-CZ"/>
        </w:rPr>
      </w:pPr>
      <w:r w:rsidRPr="001152DE">
        <w:rPr>
          <w:rFonts w:ascii="Times New Roman" w:hAnsi="Times New Roman" w:cs="Times New Roman"/>
          <w:b/>
          <w:bCs/>
          <w:lang w:val="cs-CZ"/>
        </w:rPr>
        <w:t>Explanatory memorandum</w:t>
      </w:r>
    </w:p>
    <w:p w14:paraId="51637CE3" w14:textId="77777777" w:rsidR="00F34472" w:rsidRPr="001152DE" w:rsidRDefault="00F34472" w:rsidP="00F34472">
      <w:pPr>
        <w:spacing w:after="0"/>
        <w:ind w:left="357"/>
        <w:rPr>
          <w:rFonts w:ascii="Times New Roman" w:hAnsi="Times New Roman" w:cs="Times New Roman"/>
          <w:b/>
          <w:bCs/>
          <w:lang w:val="cs-CZ"/>
        </w:rPr>
      </w:pPr>
      <w:r w:rsidRPr="001152DE">
        <w:rPr>
          <w:rFonts w:ascii="Times New Roman" w:hAnsi="Times New Roman" w:cs="Times New Roman"/>
          <w:b/>
          <w:bCs/>
          <w:lang w:val="cs-CZ"/>
        </w:rPr>
        <w:t>Recitals</w:t>
      </w:r>
    </w:p>
    <w:p w14:paraId="70BAF936" w14:textId="77777777" w:rsidR="00F34472" w:rsidRPr="001152DE" w:rsidRDefault="00F34472" w:rsidP="00F34472">
      <w:pPr>
        <w:ind w:left="360"/>
        <w:rPr>
          <w:rFonts w:ascii="Times New Roman" w:hAnsi="Times New Roman" w:cs="Times New Roman"/>
          <w:b/>
          <w:bCs/>
          <w:lang w:val="cs-CZ"/>
        </w:rPr>
      </w:pPr>
    </w:p>
    <w:p w14:paraId="66806A6E" w14:textId="2585F849" w:rsidR="00F34472" w:rsidRPr="001152DE" w:rsidRDefault="00F34472" w:rsidP="00F34472">
      <w:pPr>
        <w:ind w:firstLine="360"/>
        <w:rPr>
          <w:rFonts w:ascii="Times New Roman" w:hAnsi="Times New Roman" w:cs="Times New Roman"/>
          <w:i/>
          <w:iCs/>
          <w:lang w:val="cs-CZ"/>
        </w:rPr>
      </w:pPr>
      <w:r w:rsidRPr="001152DE">
        <w:rPr>
          <w:rFonts w:ascii="Times New Roman" w:hAnsi="Times New Roman" w:cs="Times New Roman"/>
          <w:i/>
          <w:iCs/>
          <w:lang w:val="cs-CZ"/>
        </w:rPr>
        <w:t>In which parts of an EU legal act can you find the following elements?</w:t>
      </w:r>
    </w:p>
    <w:p w14:paraId="677FF758" w14:textId="77777777" w:rsidR="00F34472" w:rsidRPr="001152DE" w:rsidRDefault="00F34472" w:rsidP="00F34472">
      <w:pPr>
        <w:pStyle w:val="Odstavecseseznamem"/>
        <w:numPr>
          <w:ilvl w:val="0"/>
          <w:numId w:val="5"/>
        </w:numPr>
        <w:spacing w:line="257" w:lineRule="auto"/>
        <w:ind w:left="714" w:hanging="357"/>
        <w:contextualSpacing w:val="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w:t>
      </w:r>
      <w:r w:rsidRPr="001152DE">
        <w:rPr>
          <w:rFonts w:ascii="Times New Roman" w:hAnsi="Times New Roman" w:cs="Times New Roman"/>
          <w:color w:val="333333"/>
          <w:shd w:val="clear" w:color="auto" w:fill="FFFFFF"/>
        </w:rPr>
        <w:t>Artificial Intelligence (AI) is a fast evolving family of technologies that can bring a wide array of economic and societal benefits across the entire spectrum of industries and social activities.</w:t>
      </w:r>
      <w:r>
        <w:rPr>
          <w:rFonts w:ascii="Times New Roman" w:hAnsi="Times New Roman" w:cs="Times New Roman"/>
          <w:color w:val="333333"/>
          <w:shd w:val="clear" w:color="auto" w:fill="FFFFFF"/>
        </w:rPr>
        <w:t>”</w:t>
      </w:r>
    </w:p>
    <w:p w14:paraId="3340CEB3" w14:textId="77777777" w:rsidR="00F34472" w:rsidRPr="001152DE" w:rsidRDefault="00F34472" w:rsidP="00F34472">
      <w:pPr>
        <w:pStyle w:val="Odstavecseseznamem"/>
        <w:numPr>
          <w:ilvl w:val="0"/>
          <w:numId w:val="5"/>
        </w:numPr>
        <w:spacing w:line="257" w:lineRule="auto"/>
        <w:ind w:left="714" w:hanging="357"/>
        <w:contextualSpacing w:val="0"/>
        <w:rPr>
          <w:rStyle w:val="footnotereference"/>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w:t>
      </w:r>
      <w:r w:rsidRPr="001152DE">
        <w:rPr>
          <w:rFonts w:ascii="Times New Roman" w:hAnsi="Times New Roman" w:cs="Times New Roman"/>
          <w:color w:val="333333"/>
          <w:shd w:val="clear" w:color="auto" w:fill="FFFFFF"/>
        </w:rPr>
        <w:t>Having regard to the opinion of the European Economic and Social Committee</w:t>
      </w:r>
      <w:r>
        <w:rPr>
          <w:rFonts w:ascii="Times New Roman" w:hAnsi="Times New Roman" w:cs="Times New Roman"/>
          <w:color w:val="333333"/>
          <w:shd w:val="clear" w:color="auto" w:fill="FFFFFF"/>
        </w:rPr>
        <w:t>”</w:t>
      </w:r>
      <w:r w:rsidRPr="001152DE">
        <w:rPr>
          <w:rStyle w:val="footnotereference"/>
          <w:rFonts w:ascii="Times New Roman" w:hAnsi="Times New Roman" w:cs="Times New Roman"/>
          <w:color w:val="333333"/>
          <w:shd w:val="clear" w:color="auto" w:fill="FFFFFF"/>
        </w:rPr>
        <w:t> </w:t>
      </w:r>
    </w:p>
    <w:p w14:paraId="584679CD" w14:textId="77777777" w:rsidR="00F34472" w:rsidRPr="001152DE" w:rsidRDefault="00F34472" w:rsidP="00F34472">
      <w:pPr>
        <w:pStyle w:val="Odstavecseseznamem"/>
        <w:numPr>
          <w:ilvl w:val="0"/>
          <w:numId w:val="5"/>
        </w:numPr>
        <w:spacing w:line="257" w:lineRule="auto"/>
        <w:ind w:left="714" w:hanging="357"/>
        <w:contextualSpacing w:val="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w:t>
      </w:r>
      <w:r w:rsidRPr="001152DE">
        <w:rPr>
          <w:rFonts w:ascii="Times New Roman" w:hAnsi="Times New Roman" w:cs="Times New Roman"/>
          <w:color w:val="333333"/>
          <w:shd w:val="clear" w:color="auto" w:fill="FFFFFF"/>
        </w:rPr>
        <w:t>The notion of AI system should be clearly defined to ensure legal certainty, while providing the flexibility to accommodate future technological developments.</w:t>
      </w:r>
      <w:r>
        <w:rPr>
          <w:rFonts w:ascii="Times New Roman" w:hAnsi="Times New Roman" w:cs="Times New Roman"/>
          <w:color w:val="333333"/>
          <w:shd w:val="clear" w:color="auto" w:fill="FFFFFF"/>
        </w:rPr>
        <w:t>”</w:t>
      </w:r>
    </w:p>
    <w:p w14:paraId="22BB7FF9" w14:textId="77777777" w:rsidR="00F34472" w:rsidRPr="001152DE" w:rsidRDefault="00F34472" w:rsidP="00F34472">
      <w:pPr>
        <w:pStyle w:val="Odstavecseseznamem"/>
        <w:numPr>
          <w:ilvl w:val="0"/>
          <w:numId w:val="5"/>
        </w:numPr>
        <w:spacing w:line="257" w:lineRule="auto"/>
        <w:ind w:left="714" w:hanging="357"/>
        <w:contextualSpacing w:val="0"/>
        <w:rPr>
          <w:rFonts w:ascii="Times New Roman" w:hAnsi="Times New Roman" w:cs="Times New Roman"/>
          <w:lang w:val="cs-CZ"/>
        </w:rPr>
      </w:pPr>
      <w:r>
        <w:rPr>
          <w:rFonts w:ascii="Times New Roman" w:hAnsi="Times New Roman" w:cs="Times New Roman"/>
          <w:color w:val="333333"/>
          <w:shd w:val="clear" w:color="auto" w:fill="FFFFFF"/>
        </w:rPr>
        <w:t>“</w:t>
      </w:r>
      <w:r w:rsidRPr="001152DE">
        <w:rPr>
          <w:rFonts w:ascii="Times New Roman" w:hAnsi="Times New Roman" w:cs="Times New Roman"/>
          <w:color w:val="333333"/>
          <w:shd w:val="clear" w:color="auto" w:fill="FFFFFF"/>
        </w:rPr>
        <w:t>The following artificial intelligence practices shall be prohibited:</w:t>
      </w:r>
      <w:r>
        <w:rPr>
          <w:rFonts w:ascii="Times New Roman" w:hAnsi="Times New Roman" w:cs="Times New Roman"/>
          <w:color w:val="333333"/>
          <w:shd w:val="clear" w:color="auto" w:fill="FFFFFF"/>
        </w:rPr>
        <w:t>”</w:t>
      </w:r>
    </w:p>
    <w:p w14:paraId="2648CDE4" w14:textId="77777777" w:rsidR="00E63F56" w:rsidRPr="00BB6F85" w:rsidRDefault="00E63F56" w:rsidP="00E63F56">
      <w:pPr>
        <w:pStyle w:val="Nadpis1"/>
        <w:numPr>
          <w:ilvl w:val="0"/>
          <w:numId w:val="3"/>
        </w:numPr>
        <w:rPr>
          <w:rFonts w:ascii="Times New Roman" w:hAnsi="Times New Roman" w:cs="Times New Roman"/>
          <w:sz w:val="36"/>
          <w:szCs w:val="36"/>
        </w:rPr>
      </w:pPr>
      <w:r w:rsidRPr="00BB6F85">
        <w:rPr>
          <w:rFonts w:ascii="Times New Roman" w:hAnsi="Times New Roman" w:cs="Times New Roman"/>
          <w:sz w:val="36"/>
          <w:szCs w:val="36"/>
        </w:rPr>
        <w:lastRenderedPageBreak/>
        <w:t>EU law</w:t>
      </w:r>
    </w:p>
    <w:p w14:paraId="520F7C8B" w14:textId="77777777" w:rsidR="00E63F56" w:rsidRPr="00BB6F85" w:rsidRDefault="00E63F56" w:rsidP="00E63F56">
      <w:pPr>
        <w:rPr>
          <w:rFonts w:ascii="Times New Roman" w:hAnsi="Times New Roman" w:cs="Times New Roman"/>
          <w:i/>
          <w:iCs/>
          <w:lang w:val="cs-CZ"/>
        </w:rPr>
      </w:pPr>
      <w:r w:rsidRPr="00BB6F85">
        <w:rPr>
          <w:rFonts w:ascii="Times New Roman" w:hAnsi="Times New Roman" w:cs="Times New Roman"/>
          <w:i/>
          <w:iCs/>
          <w:lang w:val="cs-CZ"/>
        </w:rPr>
        <w:t xml:space="preserve">Decide whether the statements are </w:t>
      </w:r>
      <w:r w:rsidRPr="00BB6F85">
        <w:rPr>
          <w:rFonts w:ascii="Times New Roman" w:hAnsi="Times New Roman" w:cs="Times New Roman"/>
          <w:b/>
          <w:bCs/>
          <w:i/>
          <w:iCs/>
          <w:lang w:val="cs-CZ"/>
        </w:rPr>
        <w:t>TRUE (T)</w:t>
      </w:r>
      <w:r w:rsidRPr="00BB6F85">
        <w:rPr>
          <w:rFonts w:ascii="Times New Roman" w:hAnsi="Times New Roman" w:cs="Times New Roman"/>
          <w:i/>
          <w:iCs/>
          <w:lang w:val="cs-CZ"/>
        </w:rPr>
        <w:t xml:space="preserve"> or </w:t>
      </w:r>
      <w:r w:rsidRPr="00BB6F85">
        <w:rPr>
          <w:rFonts w:ascii="Times New Roman" w:hAnsi="Times New Roman" w:cs="Times New Roman"/>
          <w:b/>
          <w:bCs/>
          <w:i/>
          <w:iCs/>
          <w:lang w:val="cs-CZ"/>
        </w:rPr>
        <w:t>FALSE (F)</w:t>
      </w:r>
      <w:r w:rsidRPr="00BB6F85">
        <w:rPr>
          <w:rFonts w:ascii="Times New Roman" w:hAnsi="Times New Roman" w:cs="Times New Roman"/>
          <w:i/>
          <w:iCs/>
          <w:lang w:val="cs-CZ"/>
        </w:rPr>
        <w:t>. Be ready to correct the false ones.</w:t>
      </w:r>
    </w:p>
    <w:p w14:paraId="3729BCBC"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Regulations must be transposed into national law before they can apply. ___ </w:t>
      </w:r>
    </w:p>
    <w:p w14:paraId="573A42C6"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Directives are binding as to the result to be achieved, but Member States can choose the form and methods. ___ </w:t>
      </w:r>
    </w:p>
    <w:p w14:paraId="712094E5"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Decisions are addressed to all Member States. ___ </w:t>
      </w:r>
    </w:p>
    <w:p w14:paraId="09FD15C6"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Recommendations and opinions are legally binding. ___ </w:t>
      </w:r>
    </w:p>
    <w:p w14:paraId="4D38F4B7"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rPr>
        <w:t xml:space="preserve">The </w:t>
      </w:r>
      <w:r>
        <w:rPr>
          <w:rFonts w:ascii="Times New Roman" w:hAnsi="Times New Roman" w:cs="Times New Roman"/>
        </w:rPr>
        <w:t>TFEU</w:t>
      </w:r>
      <w:r w:rsidRPr="00BB6F85">
        <w:rPr>
          <w:rFonts w:ascii="Times New Roman" w:hAnsi="Times New Roman" w:cs="Times New Roman"/>
        </w:rPr>
        <w:t xml:space="preserve"> is generally more detailed than the </w:t>
      </w:r>
      <w:r>
        <w:rPr>
          <w:rFonts w:ascii="Times New Roman" w:hAnsi="Times New Roman" w:cs="Times New Roman"/>
        </w:rPr>
        <w:t>TEU</w:t>
      </w:r>
      <w:r w:rsidRPr="00BB6F85">
        <w:rPr>
          <w:rFonts w:ascii="Times New Roman" w:hAnsi="Times New Roman" w:cs="Times New Roman"/>
        </w:rPr>
        <w:t>. ___</w:t>
      </w:r>
    </w:p>
    <w:p w14:paraId="1D10FBA1"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The Charter of Fundamental Rights of the European Union is legally binding and has the same legal value as the Treaties. ___ </w:t>
      </w:r>
    </w:p>
    <w:p w14:paraId="2F921F97"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Direct effect means that EU law must first be implemented by national law before individuals can rely on it. ___ </w:t>
      </w:r>
    </w:p>
    <w:p w14:paraId="13D29E01"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Regulations are directly applicable in all Member States. ___ </w:t>
      </w:r>
    </w:p>
    <w:p w14:paraId="12043E0B"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Directives </w:t>
      </w:r>
      <w:r>
        <w:rPr>
          <w:rFonts w:ascii="Times New Roman" w:hAnsi="Times New Roman" w:cs="Times New Roman"/>
          <w:lang w:val="cs-CZ"/>
        </w:rPr>
        <w:t>do not</w:t>
      </w:r>
      <w:r w:rsidRPr="00BB6F85">
        <w:rPr>
          <w:rFonts w:ascii="Times New Roman" w:hAnsi="Times New Roman" w:cs="Times New Roman"/>
          <w:lang w:val="cs-CZ"/>
        </w:rPr>
        <w:t xml:space="preserve"> have direct effect. ___ </w:t>
      </w:r>
    </w:p>
    <w:p w14:paraId="47CCEFE2"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Transposition means incorporating EU directives into national law. ___ </w:t>
      </w:r>
    </w:p>
    <w:p w14:paraId="1C1B7A4F"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Treaties are primary law, while regulations and directives are secondary law. ___ </w:t>
      </w:r>
    </w:p>
    <w:p w14:paraId="652FEDEE" w14:textId="77777777"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All EU legal acts have direct effect. ___ </w:t>
      </w:r>
    </w:p>
    <w:p w14:paraId="7AC7BD5E" w14:textId="5B0B86DF" w:rsidR="00E63F56" w:rsidRPr="00BB6F85" w:rsidRDefault="00E63F56" w:rsidP="00E63F56">
      <w:pPr>
        <w:numPr>
          <w:ilvl w:val="0"/>
          <w:numId w:val="7"/>
        </w:numPr>
        <w:rPr>
          <w:rFonts w:ascii="Times New Roman" w:hAnsi="Times New Roman" w:cs="Times New Roman"/>
          <w:lang w:val="cs-CZ"/>
        </w:rPr>
      </w:pPr>
      <w:r w:rsidRPr="00BB6F85">
        <w:rPr>
          <w:rFonts w:ascii="Times New Roman" w:hAnsi="Times New Roman" w:cs="Times New Roman"/>
          <w:lang w:val="cs-CZ"/>
        </w:rPr>
        <w:t xml:space="preserve">The European Parliament </w:t>
      </w:r>
      <w:r>
        <w:rPr>
          <w:rFonts w:ascii="Times New Roman" w:hAnsi="Times New Roman" w:cs="Times New Roman"/>
          <w:lang w:val="cs-CZ"/>
        </w:rPr>
        <w:t>is the main body adopting</w:t>
      </w:r>
      <w:r w:rsidRPr="00BB6F85">
        <w:rPr>
          <w:rFonts w:ascii="Times New Roman" w:hAnsi="Times New Roman" w:cs="Times New Roman"/>
          <w:lang w:val="cs-CZ"/>
        </w:rPr>
        <w:t xml:space="preserve"> EU legislation. ___</w:t>
      </w:r>
    </w:p>
    <w:p w14:paraId="108D0096" w14:textId="77777777" w:rsidR="00E63F56" w:rsidRDefault="00E63F56" w:rsidP="00E63F56">
      <w:pPr>
        <w:pStyle w:val="Nadpis1"/>
        <w:ind w:left="720"/>
        <w:rPr>
          <w:rFonts w:ascii="Times New Roman" w:hAnsi="Times New Roman" w:cs="Times New Roman"/>
          <w:sz w:val="36"/>
          <w:szCs w:val="36"/>
        </w:rPr>
      </w:pPr>
    </w:p>
    <w:p w14:paraId="56DCF0AF" w14:textId="77777777" w:rsidR="00E63F56" w:rsidRDefault="00E63F56">
      <w:pPr>
        <w:rPr>
          <w:rFonts w:ascii="Times New Roman" w:eastAsiaTheme="majorEastAsia" w:hAnsi="Times New Roman" w:cs="Times New Roman"/>
          <w:color w:val="0F4761" w:themeColor="accent1" w:themeShade="BF"/>
          <w:sz w:val="36"/>
          <w:szCs w:val="36"/>
        </w:rPr>
      </w:pPr>
      <w:r>
        <w:rPr>
          <w:rFonts w:ascii="Times New Roman" w:hAnsi="Times New Roman" w:cs="Times New Roman"/>
          <w:sz w:val="36"/>
          <w:szCs w:val="36"/>
        </w:rPr>
        <w:br w:type="page"/>
      </w:r>
    </w:p>
    <w:p w14:paraId="284CFC8E" w14:textId="5BB8AD4B" w:rsidR="00750CB5" w:rsidRDefault="00750CB5" w:rsidP="00750CB5">
      <w:pPr>
        <w:pStyle w:val="Nadpis1"/>
        <w:numPr>
          <w:ilvl w:val="0"/>
          <w:numId w:val="3"/>
        </w:numPr>
        <w:rPr>
          <w:rFonts w:ascii="Times New Roman" w:hAnsi="Times New Roman" w:cs="Times New Roman"/>
          <w:sz w:val="36"/>
          <w:szCs w:val="36"/>
        </w:rPr>
      </w:pPr>
      <w:r w:rsidRPr="00750CB5">
        <w:rPr>
          <w:rFonts w:ascii="Times New Roman" w:hAnsi="Times New Roman" w:cs="Times New Roman"/>
          <w:sz w:val="36"/>
          <w:szCs w:val="36"/>
        </w:rPr>
        <w:lastRenderedPageBreak/>
        <w:t>7 EU institutions</w:t>
      </w:r>
    </w:p>
    <w:p w14:paraId="73D516A3" w14:textId="77777777" w:rsidR="00BB6F85" w:rsidRPr="00BB6F85" w:rsidRDefault="00BB6F85" w:rsidP="00BB6F85"/>
    <w:p w14:paraId="1090C5CC" w14:textId="77777777" w:rsidR="00906ECE" w:rsidRPr="00906ECE" w:rsidRDefault="00906ECE" w:rsidP="00BB6F85">
      <w:pPr>
        <w:pStyle w:val="Bezmezer"/>
        <w:numPr>
          <w:ilvl w:val="0"/>
          <w:numId w:val="6"/>
        </w:numPr>
        <w:spacing w:after="360"/>
        <w:ind w:left="714" w:hanging="357"/>
        <w:rPr>
          <w:rFonts w:ascii="Times New Roman" w:hAnsi="Times New Roman" w:cs="Times New Roman"/>
          <w:lang w:val="cs-CZ"/>
        </w:rPr>
      </w:pPr>
      <w:r w:rsidRPr="00906ECE">
        <w:rPr>
          <w:rFonts w:ascii="Times New Roman" w:hAnsi="Times New Roman" w:cs="Times New Roman"/>
        </w:rPr>
        <w:t>The __________ checks any person or organisation handling EU funds – including spot checks in EU institutions, EU countries and countries receiving EU aid.</w:t>
      </w:r>
    </w:p>
    <w:p w14:paraId="1D00E75F" w14:textId="17DE73F1"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Most decisions in the __________ require a qualified majority: 55% of countries representing at least 65% of the EU population.</w:t>
      </w:r>
    </w:p>
    <w:p w14:paraId="46B8ED32" w14:textId="2B8B1C58"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is a directly elected EU body with legislative, supervisory, and budgetary responsibilities.</w:t>
      </w:r>
    </w:p>
    <w:p w14:paraId="3F706E28" w14:textId="12131955"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draws up the EU’s annual budget for approval by the Parliament and the Council.</w:t>
      </w:r>
    </w:p>
    <w:p w14:paraId="573EC9F3" w14:textId="0393B6AD"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Each EU country holds the presidency of the __________ on a 6-month rotating basis.</w:t>
      </w:r>
    </w:p>
    <w:p w14:paraId="1ED64BD1" w14:textId="39787639"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ensures that EU law is properly applied in all Member States.</w:t>
      </w:r>
    </w:p>
    <w:p w14:paraId="1E2750EB" w14:textId="55C2AFBD"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In the __________, government ministers from each EU country meet to discuss, amend and adopt laws, and coordinate policies.</w:t>
      </w:r>
    </w:p>
    <w:p w14:paraId="6557FF7E" w14:textId="721D2604"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is mainly responsible for proposing new EU legislation.</w:t>
      </w:r>
    </w:p>
    <w:p w14:paraId="7BF1607B" w14:textId="6C81A6CD"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candidate for President of the European Commission is proposed by the __________.</w:t>
      </w:r>
    </w:p>
    <w:p w14:paraId="760F5B79" w14:textId="3D985A52"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interprets EU law and settles legal disputes between Member States and EU institutions.</w:t>
      </w:r>
    </w:p>
    <w:p w14:paraId="4635167C" w14:textId="741EA9FE"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audits EU finances and ensures that EU funds are used properly.</w:t>
      </w:r>
    </w:p>
    <w:p w14:paraId="7DAC71AE" w14:textId="26F9A5F1"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brings together EU leaders to set the EU’s overall political direction.</w:t>
      </w:r>
    </w:p>
    <w:p w14:paraId="5B9209DC" w14:textId="5F829AE3" w:rsidR="00906ECE" w:rsidRPr="00906ECE" w:rsidRDefault="00906ECE" w:rsidP="00BB6F85">
      <w:pPr>
        <w:pStyle w:val="Bezmezer"/>
        <w:numPr>
          <w:ilvl w:val="0"/>
          <w:numId w:val="6"/>
        </w:numPr>
        <w:spacing w:after="360"/>
        <w:ind w:left="714" w:hanging="357"/>
        <w:rPr>
          <w:rFonts w:ascii="Times New Roman" w:hAnsi="Times New Roman" w:cs="Times New Roman"/>
        </w:rPr>
      </w:pPr>
      <w:r w:rsidRPr="00906ECE">
        <w:rPr>
          <w:rFonts w:ascii="Times New Roman" w:hAnsi="Times New Roman" w:cs="Times New Roman"/>
        </w:rPr>
        <w:t>The __________ shares legislative and budgetary powers with the Council.</w:t>
      </w:r>
    </w:p>
    <w:p w14:paraId="40FD677A" w14:textId="77777777" w:rsidR="00750CB5" w:rsidRDefault="00750CB5"/>
    <w:p w14:paraId="6C105593" w14:textId="77777777" w:rsidR="00BB6F85" w:rsidRDefault="00BB6F85">
      <w:pPr>
        <w:rPr>
          <w:rFonts w:ascii="Times New Roman" w:eastAsiaTheme="majorEastAsia" w:hAnsi="Times New Roman" w:cs="Times New Roman"/>
          <w:color w:val="0F4761" w:themeColor="accent1" w:themeShade="BF"/>
          <w:sz w:val="36"/>
          <w:szCs w:val="36"/>
        </w:rPr>
      </w:pPr>
      <w:r>
        <w:rPr>
          <w:rFonts w:ascii="Times New Roman" w:hAnsi="Times New Roman" w:cs="Times New Roman"/>
          <w:sz w:val="36"/>
          <w:szCs w:val="36"/>
        </w:rPr>
        <w:br w:type="page"/>
      </w:r>
    </w:p>
    <w:p w14:paraId="1E6CEC5F" w14:textId="26100B60" w:rsidR="00DA1A3B" w:rsidRPr="00DA1A3B" w:rsidRDefault="00DA1A3B" w:rsidP="00DA1A3B">
      <w:pPr>
        <w:pStyle w:val="Nadpis1"/>
        <w:numPr>
          <w:ilvl w:val="0"/>
          <w:numId w:val="3"/>
        </w:numPr>
        <w:rPr>
          <w:rFonts w:ascii="Times New Roman" w:hAnsi="Times New Roman" w:cs="Times New Roman"/>
          <w:sz w:val="36"/>
          <w:szCs w:val="36"/>
        </w:rPr>
      </w:pPr>
      <w:r w:rsidRPr="00DA1A3B">
        <w:rPr>
          <w:rFonts w:ascii="Times New Roman" w:hAnsi="Times New Roman" w:cs="Times New Roman"/>
          <w:sz w:val="36"/>
          <w:szCs w:val="36"/>
        </w:rPr>
        <w:lastRenderedPageBreak/>
        <w:t>EU legislative process</w:t>
      </w:r>
    </w:p>
    <w:p w14:paraId="6E117422" w14:textId="0514D7DF" w:rsidR="00DA1A3B" w:rsidRPr="00DA1A3B" w:rsidRDefault="00DA1A3B" w:rsidP="00DA1A3B">
      <w:pPr>
        <w:spacing w:after="0"/>
        <w:rPr>
          <w:rFonts w:ascii="Times New Roman" w:hAnsi="Times New Roman" w:cs="Times New Roman"/>
          <w:i/>
          <w:iCs/>
        </w:rPr>
      </w:pPr>
      <w:r>
        <w:rPr>
          <w:rFonts w:ascii="Times New Roman" w:hAnsi="Times New Roman" w:cs="Times New Roman"/>
          <w:i/>
          <w:iCs/>
        </w:rPr>
        <w:t>E</w:t>
      </w:r>
      <w:r w:rsidRPr="00DA1A3B">
        <w:rPr>
          <w:rFonts w:ascii="Times New Roman" w:hAnsi="Times New Roman" w:cs="Times New Roman"/>
          <w:i/>
          <w:iCs/>
        </w:rPr>
        <w:t>xplain the relevance of these expressions to the EU legislative process:</w:t>
      </w:r>
    </w:p>
    <w:p w14:paraId="74B29E08" w14:textId="77777777" w:rsidR="00DA1A3B" w:rsidRDefault="00DA1A3B" w:rsidP="00DA1A3B">
      <w:pPr>
        <w:spacing w:after="0"/>
        <w:rPr>
          <w:rFonts w:ascii="Times New Roman" w:hAnsi="Times New Roman" w:cs="Times New Roman"/>
          <w:lang w:val="cs-CZ"/>
        </w:rPr>
      </w:pPr>
    </w:p>
    <w:p w14:paraId="5E65DBA3" w14:textId="77777777" w:rsidR="00DA1A3B" w:rsidRPr="00DA1A3B" w:rsidRDefault="00DA1A3B" w:rsidP="00DA1A3B">
      <w:pPr>
        <w:spacing w:after="0"/>
        <w:rPr>
          <w:rFonts w:ascii="Times New Roman" w:hAnsi="Times New Roman" w:cs="Times New Roman"/>
          <w:lang w:val="cs-CZ"/>
        </w:rPr>
        <w:sectPr w:rsidR="00DA1A3B" w:rsidRPr="00DA1A3B">
          <w:footerReference w:type="default" r:id="rId8"/>
          <w:pgSz w:w="11906" w:h="16838"/>
          <w:pgMar w:top="1417" w:right="1417" w:bottom="1417" w:left="1417" w:header="708" w:footer="708" w:gutter="0"/>
          <w:cols w:space="708"/>
          <w:docGrid w:linePitch="360"/>
        </w:sectPr>
      </w:pPr>
    </w:p>
    <w:p w14:paraId="08FCD4D1"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first reading</w:t>
      </w:r>
    </w:p>
    <w:p w14:paraId="270D236D"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conciliation</w:t>
      </w:r>
    </w:p>
    <w:p w14:paraId="36D76F8C"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special legislative procedure</w:t>
      </w:r>
    </w:p>
    <w:p w14:paraId="4DBDC082"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amendments</w:t>
      </w:r>
    </w:p>
    <w:p w14:paraId="1E884888"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DGs</w:t>
      </w:r>
    </w:p>
    <w:p w14:paraId="2CBE0280" w14:textId="49905380"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subsidiarity, proportionality</w:t>
      </w:r>
    </w:p>
    <w:p w14:paraId="1B297137" w14:textId="762B4FC1"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right of initiative</w:t>
      </w:r>
    </w:p>
    <w:p w14:paraId="40F9140A"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unanimity, QMV</w:t>
      </w:r>
    </w:p>
    <w:p w14:paraId="4A26C10D"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explanatory memorandum</w:t>
      </w:r>
    </w:p>
    <w:p w14:paraId="263F5EB7" w14:textId="77777777"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transposition</w:t>
      </w:r>
    </w:p>
    <w:p w14:paraId="2F5AE685" w14:textId="3799E6FE" w:rsidR="00DA1A3B" w:rsidRPr="00DA1A3B" w:rsidRDefault="00DA1A3B" w:rsidP="00DA1A3B">
      <w:pPr>
        <w:pStyle w:val="Odstavecseseznamem"/>
        <w:numPr>
          <w:ilvl w:val="0"/>
          <w:numId w:val="8"/>
        </w:numPr>
        <w:spacing w:after="0"/>
        <w:rPr>
          <w:rFonts w:ascii="Times New Roman" w:hAnsi="Times New Roman" w:cs="Times New Roman"/>
          <w:lang w:val="cs-CZ"/>
        </w:rPr>
      </w:pPr>
      <w:r w:rsidRPr="00DA1A3B">
        <w:rPr>
          <w:rFonts w:ascii="Times New Roman" w:hAnsi="Times New Roman" w:cs="Times New Roman"/>
          <w:lang w:val="cs-CZ"/>
        </w:rPr>
        <w:t>MEP</w:t>
      </w:r>
    </w:p>
    <w:p w14:paraId="04A7E678" w14:textId="77777777" w:rsidR="00DA1A3B" w:rsidRDefault="00DA1A3B">
      <w:pPr>
        <w:sectPr w:rsidR="00DA1A3B" w:rsidSect="00DA1A3B">
          <w:type w:val="continuous"/>
          <w:pgSz w:w="11906" w:h="16838"/>
          <w:pgMar w:top="1417" w:right="1417" w:bottom="1417" w:left="1417" w:header="708" w:footer="708" w:gutter="0"/>
          <w:cols w:num="2" w:space="708"/>
          <w:docGrid w:linePitch="360"/>
        </w:sectPr>
      </w:pPr>
    </w:p>
    <w:p w14:paraId="5E88EDF8" w14:textId="43DEC875" w:rsidR="00804B26" w:rsidRDefault="00804B26">
      <w:r>
        <w:br w:type="page"/>
      </w:r>
    </w:p>
    <w:p w14:paraId="78D931CF" w14:textId="77777777" w:rsidR="00804B26" w:rsidRPr="00804B26" w:rsidRDefault="00804B26" w:rsidP="00804B26">
      <w:pPr>
        <w:pStyle w:val="Nadpis1"/>
        <w:numPr>
          <w:ilvl w:val="0"/>
          <w:numId w:val="3"/>
        </w:numPr>
        <w:rPr>
          <w:rFonts w:ascii="Times New Roman" w:hAnsi="Times New Roman" w:cs="Times New Roman"/>
          <w:sz w:val="36"/>
          <w:szCs w:val="36"/>
        </w:rPr>
      </w:pPr>
      <w:r w:rsidRPr="00804B26">
        <w:rPr>
          <w:rFonts w:ascii="Times New Roman" w:hAnsi="Times New Roman" w:cs="Times New Roman"/>
          <w:sz w:val="36"/>
          <w:szCs w:val="36"/>
        </w:rPr>
        <w:lastRenderedPageBreak/>
        <w:t>Features of EU English</w:t>
      </w:r>
    </w:p>
    <w:p w14:paraId="4C647869" w14:textId="77777777" w:rsidR="00804B26" w:rsidRPr="00A46364" w:rsidRDefault="00804B26" w:rsidP="00804B26">
      <w:pPr>
        <w:pStyle w:val="Odstavecseseznamem"/>
        <w:numPr>
          <w:ilvl w:val="0"/>
          <w:numId w:val="10"/>
        </w:numPr>
        <w:spacing w:line="259" w:lineRule="auto"/>
        <w:rPr>
          <w:rFonts w:ascii="Times New Roman" w:hAnsi="Times New Roman" w:cs="Times New Roman"/>
          <w:b/>
          <w:bCs/>
          <w:sz w:val="28"/>
          <w:szCs w:val="28"/>
          <w:shd w:val="clear" w:color="auto" w:fill="FFFFFF"/>
        </w:rPr>
      </w:pPr>
      <w:bookmarkStart w:id="0" w:name="_Toc101895058"/>
      <w:r w:rsidRPr="00A46364">
        <w:rPr>
          <w:rFonts w:ascii="Times New Roman" w:hAnsi="Times New Roman" w:cs="Times New Roman"/>
          <w:b/>
          <w:bCs/>
          <w:sz w:val="28"/>
          <w:szCs w:val="28"/>
          <w:shd w:val="clear" w:color="auto" w:fill="FFFFFF"/>
        </w:rPr>
        <w:t>Legalisms:</w:t>
      </w:r>
      <w:bookmarkEnd w:id="0"/>
    </w:p>
    <w:p w14:paraId="456C3002"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333333"/>
          <w:shd w:val="clear" w:color="auto" w:fill="FFFFFF"/>
        </w:rPr>
        <w:t xml:space="preserve">The requirement to record the information under this field </w:t>
      </w:r>
      <w:r w:rsidRPr="00A46364">
        <w:rPr>
          <w:rFonts w:ascii="Times New Roman" w:hAnsi="Times New Roman" w:cs="Times New Roman"/>
          <w:b/>
          <w:bCs/>
          <w:color w:val="000000" w:themeColor="text1"/>
          <w:shd w:val="clear" w:color="auto" w:fill="FFFFFF"/>
        </w:rPr>
        <w:t>shall</w:t>
      </w:r>
      <w:r w:rsidRPr="00A46364">
        <w:rPr>
          <w:rFonts w:ascii="Times New Roman" w:hAnsi="Times New Roman" w:cs="Times New Roman"/>
          <w:color w:val="000000" w:themeColor="text1"/>
          <w:shd w:val="clear" w:color="auto" w:fill="FFFFFF"/>
        </w:rPr>
        <w:t xml:space="preserve"> apply from one year after the entry into force of this regulation.</w:t>
      </w:r>
    </w:p>
    <w:p w14:paraId="627A8ABA"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 xml:space="preserve">Those rules are </w:t>
      </w:r>
      <w:r w:rsidRPr="00A46364">
        <w:rPr>
          <w:rFonts w:ascii="Times New Roman" w:hAnsi="Times New Roman" w:cs="Times New Roman"/>
          <w:b/>
          <w:bCs/>
          <w:color w:val="000000" w:themeColor="text1"/>
          <w:shd w:val="clear" w:color="auto" w:fill="FFFFFF"/>
        </w:rPr>
        <w:t>laid down</w:t>
      </w:r>
      <w:r w:rsidRPr="00A46364">
        <w:rPr>
          <w:rFonts w:ascii="Times New Roman" w:hAnsi="Times New Roman" w:cs="Times New Roman"/>
          <w:color w:val="000000" w:themeColor="text1"/>
          <w:shd w:val="clear" w:color="auto" w:fill="FFFFFF"/>
        </w:rPr>
        <w:t xml:space="preserve"> in Regulation (EU, Euratom) 2018/1046 of the European Parliament and of the Council (6) (‘the Financial Regulation’) </w:t>
      </w:r>
    </w:p>
    <w:p w14:paraId="1228DEC9"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b/>
          <w:bCs/>
          <w:color w:val="000000" w:themeColor="text1"/>
          <w:shd w:val="clear" w:color="auto" w:fill="FFFFFF"/>
        </w:rPr>
        <w:t>Without prejudice to</w:t>
      </w:r>
      <w:r w:rsidRPr="00A46364">
        <w:rPr>
          <w:rFonts w:ascii="Times New Roman" w:hAnsi="Times New Roman" w:cs="Times New Roman"/>
          <w:color w:val="000000" w:themeColor="text1"/>
          <w:shd w:val="clear" w:color="auto" w:fill="FFFFFF"/>
        </w:rPr>
        <w:t xml:space="preserve"> the rules on decommitment, where those conditions are not fulfilled, expenditure related to operations under the related specific objectives should not be reimbursed by the Commission. </w:t>
      </w:r>
    </w:p>
    <w:p w14:paraId="44F776FF"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w:t>
      </w:r>
      <w:r w:rsidRPr="00A46364">
        <w:rPr>
          <w:rFonts w:ascii="Times New Roman" w:hAnsi="Times New Roman" w:cs="Times New Roman"/>
          <w:b/>
          <w:bCs/>
          <w:color w:val="000000" w:themeColor="text1"/>
          <w:shd w:val="clear" w:color="auto" w:fill="FFFFFF"/>
        </w:rPr>
        <w:t>hereinafter referred to as</w:t>
      </w:r>
      <w:r w:rsidRPr="00A46364">
        <w:rPr>
          <w:rFonts w:ascii="Times New Roman" w:hAnsi="Times New Roman" w:cs="Times New Roman"/>
          <w:color w:val="000000" w:themeColor="text1"/>
          <w:shd w:val="clear" w:color="auto" w:fill="FFFFFF"/>
        </w:rPr>
        <w:t xml:space="preserve"> ‘structured data’) </w:t>
      </w:r>
    </w:p>
    <w:p w14:paraId="649CF465" w14:textId="77777777" w:rsidR="00804B26" w:rsidRPr="00A46364" w:rsidRDefault="00804B26" w:rsidP="00804B26">
      <w:pPr>
        <w:pStyle w:val="Odstavecseseznamem"/>
        <w:numPr>
          <w:ilvl w:val="0"/>
          <w:numId w:val="10"/>
        </w:numPr>
        <w:spacing w:line="259" w:lineRule="auto"/>
        <w:rPr>
          <w:rFonts w:ascii="Times New Roman" w:hAnsi="Times New Roman" w:cs="Times New Roman"/>
          <w:b/>
          <w:bCs/>
          <w:color w:val="000000" w:themeColor="text1"/>
          <w:sz w:val="28"/>
          <w:szCs w:val="28"/>
          <w:shd w:val="clear" w:color="auto" w:fill="FFFFFF"/>
        </w:rPr>
      </w:pPr>
      <w:bookmarkStart w:id="1" w:name="_Toc101895059"/>
      <w:r w:rsidRPr="00A46364">
        <w:rPr>
          <w:rFonts w:ascii="Times New Roman" w:hAnsi="Times New Roman" w:cs="Times New Roman"/>
          <w:b/>
          <w:bCs/>
          <w:color w:val="000000" w:themeColor="text1"/>
          <w:sz w:val="28"/>
          <w:szCs w:val="28"/>
          <w:shd w:val="clear" w:color="auto" w:fill="FFFFFF"/>
        </w:rPr>
        <w:t>Terminology:</w:t>
      </w:r>
      <w:bookmarkEnd w:id="1"/>
    </w:p>
    <w:p w14:paraId="7458A5C6"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 xml:space="preserve">Member States should prevent, detect and deal effectively with any </w:t>
      </w:r>
      <w:r w:rsidRPr="00A46364">
        <w:rPr>
          <w:rFonts w:ascii="Times New Roman" w:hAnsi="Times New Roman" w:cs="Times New Roman"/>
          <w:b/>
          <w:bCs/>
          <w:color w:val="000000" w:themeColor="text1"/>
          <w:shd w:val="clear" w:color="auto" w:fill="FFFFFF"/>
        </w:rPr>
        <w:t>irregularities</w:t>
      </w:r>
      <w:r w:rsidRPr="00A46364">
        <w:rPr>
          <w:rFonts w:ascii="Times New Roman" w:hAnsi="Times New Roman" w:cs="Times New Roman"/>
          <w:color w:val="000000" w:themeColor="text1"/>
          <w:shd w:val="clear" w:color="auto" w:fill="FFFFFF"/>
        </w:rPr>
        <w:t>, including fraud committed by economic operators.</w:t>
      </w:r>
    </w:p>
    <w:p w14:paraId="07DC8A07"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 xml:space="preserve">In order to maintain a favourable investment framework, the continued fulfilment of the </w:t>
      </w:r>
      <w:r w:rsidRPr="00A46364">
        <w:rPr>
          <w:rFonts w:ascii="Times New Roman" w:hAnsi="Times New Roman" w:cs="Times New Roman"/>
          <w:b/>
          <w:bCs/>
          <w:color w:val="000000" w:themeColor="text1"/>
          <w:shd w:val="clear" w:color="auto" w:fill="FFFFFF"/>
        </w:rPr>
        <w:t>enabling conditions</w:t>
      </w:r>
      <w:r w:rsidRPr="00A46364">
        <w:rPr>
          <w:rFonts w:ascii="Times New Roman" w:hAnsi="Times New Roman" w:cs="Times New Roman"/>
          <w:color w:val="000000" w:themeColor="text1"/>
          <w:shd w:val="clear" w:color="auto" w:fill="FFFFFF"/>
        </w:rPr>
        <w:t xml:space="preserve"> should be monitored regularly. </w:t>
      </w:r>
    </w:p>
    <w:p w14:paraId="32A7F401"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 xml:space="preserve">The Member State or the managing authority shall carry out evaluations of the programmes related to one or more of the following criteria: </w:t>
      </w:r>
      <w:r w:rsidRPr="00A46364">
        <w:rPr>
          <w:rFonts w:ascii="Times New Roman" w:hAnsi="Times New Roman" w:cs="Times New Roman"/>
          <w:b/>
          <w:bCs/>
          <w:color w:val="000000" w:themeColor="text1"/>
          <w:shd w:val="clear" w:color="auto" w:fill="FFFFFF"/>
        </w:rPr>
        <w:t>effectiveness, efficiency</w:t>
      </w:r>
      <w:r w:rsidRPr="00A46364">
        <w:rPr>
          <w:rFonts w:ascii="Times New Roman" w:hAnsi="Times New Roman" w:cs="Times New Roman"/>
          <w:color w:val="000000" w:themeColor="text1"/>
          <w:shd w:val="clear" w:color="auto" w:fill="FFFFFF"/>
        </w:rPr>
        <w:t>, relevance, coherence and Union added value,…</w:t>
      </w:r>
    </w:p>
    <w:p w14:paraId="70488C73" w14:textId="77777777" w:rsidR="00804B26" w:rsidRPr="00A46364" w:rsidRDefault="00804B26" w:rsidP="00804B26">
      <w:pPr>
        <w:pStyle w:val="Odstavecseseznamem"/>
        <w:numPr>
          <w:ilvl w:val="0"/>
          <w:numId w:val="10"/>
        </w:numPr>
        <w:spacing w:line="259" w:lineRule="auto"/>
        <w:rPr>
          <w:rFonts w:ascii="Times New Roman" w:hAnsi="Times New Roman" w:cs="Times New Roman"/>
          <w:b/>
          <w:bCs/>
          <w:color w:val="000000" w:themeColor="text1"/>
          <w:sz w:val="28"/>
          <w:szCs w:val="28"/>
          <w:shd w:val="clear" w:color="auto" w:fill="FFFFFF"/>
        </w:rPr>
      </w:pPr>
      <w:bookmarkStart w:id="2" w:name="_Toc101895060"/>
      <w:r w:rsidRPr="00A46364">
        <w:rPr>
          <w:rFonts w:ascii="Times New Roman" w:hAnsi="Times New Roman" w:cs="Times New Roman"/>
          <w:b/>
          <w:bCs/>
          <w:color w:val="000000" w:themeColor="text1"/>
          <w:sz w:val="28"/>
          <w:szCs w:val="28"/>
          <w:shd w:val="clear" w:color="auto" w:fill="FFFFFF"/>
        </w:rPr>
        <w:t>Popular EU expressions:</w:t>
      </w:r>
      <w:bookmarkEnd w:id="2"/>
    </w:p>
    <w:p w14:paraId="2A40F98F"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 xml:space="preserve">Programme authorities, beneficiaries and </w:t>
      </w:r>
      <w:r w:rsidRPr="00A46364">
        <w:rPr>
          <w:rFonts w:ascii="Times New Roman" w:hAnsi="Times New Roman" w:cs="Times New Roman"/>
          <w:b/>
          <w:bCs/>
          <w:color w:val="000000" w:themeColor="text1"/>
          <w:shd w:val="clear" w:color="auto" w:fill="FFFFFF"/>
        </w:rPr>
        <w:t>stakeholders</w:t>
      </w:r>
      <w:r w:rsidRPr="00A46364">
        <w:rPr>
          <w:rFonts w:ascii="Times New Roman" w:hAnsi="Times New Roman" w:cs="Times New Roman"/>
          <w:color w:val="000000" w:themeColor="text1"/>
          <w:shd w:val="clear" w:color="auto" w:fill="FFFFFF"/>
        </w:rPr>
        <w:t xml:space="preserve"> in Member States should raise awareness of the achievements of Union funding and inform the general public accordingly.</w:t>
      </w:r>
    </w:p>
    <w:p w14:paraId="19B2BE70"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 xml:space="preserve">Poverty is a particularly important </w:t>
      </w:r>
      <w:r w:rsidRPr="00A46364">
        <w:rPr>
          <w:rFonts w:ascii="Times New Roman" w:hAnsi="Times New Roman" w:cs="Times New Roman"/>
          <w:b/>
          <w:bCs/>
          <w:color w:val="000000" w:themeColor="text1"/>
          <w:shd w:val="clear" w:color="auto" w:fill="FFFFFF"/>
        </w:rPr>
        <w:t>challenge</w:t>
      </w:r>
      <w:r w:rsidRPr="00A46364">
        <w:rPr>
          <w:rFonts w:ascii="Times New Roman" w:hAnsi="Times New Roman" w:cs="Times New Roman"/>
          <w:color w:val="000000" w:themeColor="text1"/>
          <w:shd w:val="clear" w:color="auto" w:fill="FFFFFF"/>
        </w:rPr>
        <w:t xml:space="preserve"> in the Union.</w:t>
      </w:r>
    </w:p>
    <w:p w14:paraId="7940A035" w14:textId="77777777" w:rsidR="00804B26" w:rsidRPr="00A46364" w:rsidRDefault="00804B26" w:rsidP="00804B26">
      <w:pPr>
        <w:pStyle w:val="Odstavecseseznamem"/>
        <w:numPr>
          <w:ilvl w:val="0"/>
          <w:numId w:val="10"/>
        </w:numPr>
        <w:spacing w:line="259" w:lineRule="auto"/>
        <w:rPr>
          <w:rFonts w:ascii="Times New Roman" w:hAnsi="Times New Roman" w:cs="Times New Roman"/>
          <w:b/>
          <w:bCs/>
          <w:color w:val="000000" w:themeColor="text1"/>
          <w:sz w:val="28"/>
          <w:szCs w:val="28"/>
          <w:shd w:val="clear" w:color="auto" w:fill="FFFFFF"/>
        </w:rPr>
      </w:pPr>
      <w:bookmarkStart w:id="3" w:name="_Toc101895061"/>
      <w:r w:rsidRPr="00A46364">
        <w:rPr>
          <w:rFonts w:ascii="Times New Roman" w:hAnsi="Times New Roman" w:cs="Times New Roman"/>
          <w:b/>
          <w:bCs/>
          <w:color w:val="000000" w:themeColor="text1"/>
          <w:sz w:val="28"/>
          <w:szCs w:val="28"/>
          <w:shd w:val="clear" w:color="auto" w:fill="FFFFFF"/>
        </w:rPr>
        <w:t>Sentence structure:</w:t>
      </w:r>
      <w:bookmarkEnd w:id="3"/>
    </w:p>
    <w:p w14:paraId="3F4F0312"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Further, as the Commission is precluded from making payments for the expenditure incurred by beneficiaries and paid in implementing operations linked to specific objectives for which enabling conditions are not fulfilled, which is included in payment applications, the time limit for the Commission to make payments should not be triggered for such expenditure.</w:t>
      </w:r>
    </w:p>
    <w:p w14:paraId="5535A015" w14:textId="77777777" w:rsidR="00804B26" w:rsidRPr="00A46364" w:rsidRDefault="00804B26" w:rsidP="00804B26">
      <w:pPr>
        <w:pStyle w:val="Odstavecseseznamem"/>
        <w:numPr>
          <w:ilvl w:val="0"/>
          <w:numId w:val="10"/>
        </w:numPr>
        <w:spacing w:line="259" w:lineRule="auto"/>
        <w:rPr>
          <w:rFonts w:ascii="Times New Roman" w:hAnsi="Times New Roman" w:cs="Times New Roman"/>
          <w:b/>
          <w:bCs/>
          <w:color w:val="000000" w:themeColor="text1"/>
          <w:sz w:val="28"/>
          <w:szCs w:val="28"/>
          <w:shd w:val="clear" w:color="auto" w:fill="FFFFFF"/>
        </w:rPr>
      </w:pPr>
      <w:bookmarkStart w:id="4" w:name="_Toc101895062"/>
      <w:r w:rsidRPr="00A46364">
        <w:rPr>
          <w:rFonts w:ascii="Times New Roman" w:hAnsi="Times New Roman" w:cs="Times New Roman"/>
          <w:b/>
          <w:bCs/>
          <w:color w:val="000000" w:themeColor="text1"/>
          <w:sz w:val="28"/>
          <w:szCs w:val="28"/>
          <w:shd w:val="clear" w:color="auto" w:fill="FFFFFF"/>
        </w:rPr>
        <w:t>Mistakes in the original version:</w:t>
      </w:r>
      <w:bookmarkEnd w:id="4"/>
    </w:p>
    <w:p w14:paraId="054B179B"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If </w:t>
      </w:r>
      <w:r w:rsidRPr="00A46364">
        <w:rPr>
          <w:rFonts w:ascii="Times New Roman" w:hAnsi="Times New Roman" w:cs="Times New Roman"/>
          <w:b/>
          <w:bCs/>
          <w:color w:val="000000" w:themeColor="text1"/>
          <w:shd w:val="clear" w:color="auto" w:fill="FFFFFF"/>
        </w:rPr>
        <w:t>actual</w:t>
      </w:r>
      <w:r w:rsidRPr="00A46364">
        <w:rPr>
          <w:rFonts w:ascii="Times New Roman" w:hAnsi="Times New Roman" w:cs="Times New Roman"/>
          <w:color w:val="000000" w:themeColor="text1"/>
          <w:shd w:val="clear" w:color="auto" w:fill="FFFFFF"/>
        </w:rPr>
        <w:t> data pursuant to Regulation ( EC ) No 3605/93 indicate that an excessive deficit has not been corrected by a participating Member State within the time limits specified…</w:t>
      </w:r>
    </w:p>
    <w:p w14:paraId="2CD53DD9"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Prohibition of </w:t>
      </w:r>
      <w:r w:rsidRPr="00A46364">
        <w:rPr>
          <w:rFonts w:ascii="Times New Roman" w:hAnsi="Times New Roman" w:cs="Times New Roman"/>
          <w:b/>
          <w:bCs/>
          <w:color w:val="000000" w:themeColor="text1"/>
          <w:shd w:val="clear" w:color="auto" w:fill="FFFFFF"/>
        </w:rPr>
        <w:t>State aids</w:t>
      </w:r>
      <w:r w:rsidRPr="00A46364">
        <w:rPr>
          <w:rFonts w:ascii="Times New Roman" w:hAnsi="Times New Roman" w:cs="Times New Roman"/>
          <w:color w:val="000000" w:themeColor="text1"/>
          <w:shd w:val="clear" w:color="auto" w:fill="FFFFFF"/>
        </w:rPr>
        <w:t> under Article 87(1 ) of the EC Treaty…</w:t>
      </w:r>
    </w:p>
    <w:p w14:paraId="0BB26B94" w14:textId="77777777" w:rsidR="00804B26" w:rsidRPr="00A46364" w:rsidRDefault="00804B26" w:rsidP="00804B26">
      <w:pPr>
        <w:pStyle w:val="Odstavecseseznamem"/>
        <w:numPr>
          <w:ilvl w:val="0"/>
          <w:numId w:val="9"/>
        </w:numPr>
        <w:spacing w:after="120" w:line="259" w:lineRule="auto"/>
        <w:ind w:left="714" w:hanging="357"/>
        <w:contextualSpacing w:val="0"/>
        <w:rPr>
          <w:rFonts w:ascii="Times New Roman" w:hAnsi="Times New Roman" w:cs="Times New Roman"/>
          <w:color w:val="000000" w:themeColor="text1"/>
          <w:shd w:val="clear" w:color="auto" w:fill="FFFFFF"/>
        </w:rPr>
      </w:pPr>
      <w:r w:rsidRPr="00A46364">
        <w:rPr>
          <w:rFonts w:ascii="Times New Roman" w:hAnsi="Times New Roman" w:cs="Times New Roman"/>
          <w:color w:val="000000" w:themeColor="text1"/>
          <w:shd w:val="clear" w:color="auto" w:fill="FFFFFF"/>
        </w:rPr>
        <w:t>It appeared to be necessary to give the Member States a supplementary </w:t>
      </w:r>
      <w:r w:rsidRPr="00A46364">
        <w:rPr>
          <w:rFonts w:ascii="Times New Roman" w:hAnsi="Times New Roman" w:cs="Times New Roman"/>
          <w:b/>
          <w:bCs/>
          <w:color w:val="000000" w:themeColor="text1"/>
          <w:shd w:val="clear" w:color="auto" w:fill="FFFFFF"/>
        </w:rPr>
        <w:t>delay</w:t>
      </w:r>
      <w:r w:rsidRPr="00A46364">
        <w:rPr>
          <w:rFonts w:ascii="Times New Roman" w:hAnsi="Times New Roman" w:cs="Times New Roman"/>
          <w:color w:val="000000" w:themeColor="text1"/>
          <w:shd w:val="clear" w:color="auto" w:fill="FFFFFF"/>
        </w:rPr>
        <w:t> for transposing the provisions of Directive 83/201/EEC into their national legislation.</w:t>
      </w:r>
    </w:p>
    <w:p w14:paraId="54BD16EE" w14:textId="77777777" w:rsidR="00DA1A3B" w:rsidRDefault="00DA1A3B"/>
    <w:sectPr w:rsidR="00DA1A3B" w:rsidSect="00DA1A3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00C6" w14:textId="77777777" w:rsidR="009560D1" w:rsidRDefault="009560D1" w:rsidP="009304FC">
      <w:pPr>
        <w:spacing w:after="0" w:line="240" w:lineRule="auto"/>
      </w:pPr>
      <w:r>
        <w:separator/>
      </w:r>
    </w:p>
  </w:endnote>
  <w:endnote w:type="continuationSeparator" w:id="0">
    <w:p w14:paraId="77783422" w14:textId="77777777" w:rsidR="009560D1" w:rsidRDefault="009560D1" w:rsidP="00930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94477"/>
      <w:docPartObj>
        <w:docPartGallery w:val="Page Numbers (Bottom of Page)"/>
        <w:docPartUnique/>
      </w:docPartObj>
    </w:sdtPr>
    <w:sdtContent>
      <w:p w14:paraId="66E888AD" w14:textId="57A35A11" w:rsidR="009304FC" w:rsidRDefault="009304FC">
        <w:pPr>
          <w:pStyle w:val="Zpat"/>
          <w:jc w:val="right"/>
        </w:pPr>
        <w:r>
          <w:fldChar w:fldCharType="begin"/>
        </w:r>
        <w:r>
          <w:instrText>PAGE   \* MERGEFORMAT</w:instrText>
        </w:r>
        <w:r>
          <w:fldChar w:fldCharType="separate"/>
        </w:r>
        <w:r>
          <w:rPr>
            <w:lang w:val="cs-CZ"/>
          </w:rPr>
          <w:t>2</w:t>
        </w:r>
        <w:r>
          <w:fldChar w:fldCharType="end"/>
        </w:r>
      </w:p>
    </w:sdtContent>
  </w:sdt>
  <w:p w14:paraId="03029B42" w14:textId="77777777" w:rsidR="009304FC" w:rsidRDefault="009304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32E3" w14:textId="77777777" w:rsidR="009560D1" w:rsidRDefault="009560D1" w:rsidP="009304FC">
      <w:pPr>
        <w:spacing w:after="0" w:line="240" w:lineRule="auto"/>
      </w:pPr>
      <w:r>
        <w:separator/>
      </w:r>
    </w:p>
  </w:footnote>
  <w:footnote w:type="continuationSeparator" w:id="0">
    <w:p w14:paraId="19839FCF" w14:textId="77777777" w:rsidR="009560D1" w:rsidRDefault="009560D1" w:rsidP="00930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3AD"/>
    <w:multiLevelType w:val="multilevel"/>
    <w:tmpl w:val="610EC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C605C"/>
    <w:multiLevelType w:val="hybridMultilevel"/>
    <w:tmpl w:val="DFE84F70"/>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06D5F"/>
    <w:multiLevelType w:val="hybridMultilevel"/>
    <w:tmpl w:val="379CD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D52D07"/>
    <w:multiLevelType w:val="hybridMultilevel"/>
    <w:tmpl w:val="CBC6E93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0516A0"/>
    <w:multiLevelType w:val="hybridMultilevel"/>
    <w:tmpl w:val="5C44EF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561756"/>
    <w:multiLevelType w:val="hybridMultilevel"/>
    <w:tmpl w:val="FA2AC6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0A167A"/>
    <w:multiLevelType w:val="hybridMultilevel"/>
    <w:tmpl w:val="27ECE65C"/>
    <w:lvl w:ilvl="0" w:tplc="8A86B804">
      <w:start w:val="1"/>
      <w:numFmt w:val="upperLetter"/>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7" w15:restartNumberingAfterBreak="0">
    <w:nsid w:val="4DE62E81"/>
    <w:multiLevelType w:val="hybridMultilevel"/>
    <w:tmpl w:val="8C4CCBA8"/>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51532C"/>
    <w:multiLevelType w:val="hybridMultilevel"/>
    <w:tmpl w:val="DE3080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2C278F"/>
    <w:multiLevelType w:val="hybridMultilevel"/>
    <w:tmpl w:val="C33EC65A"/>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244162"/>
    <w:multiLevelType w:val="hybridMultilevel"/>
    <w:tmpl w:val="4058E95C"/>
    <w:lvl w:ilvl="0" w:tplc="3342B3AC">
      <w:start w:val="1"/>
      <w:numFmt w:val="upp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num w:numId="1" w16cid:durableId="2067489124">
    <w:abstractNumId w:val="1"/>
  </w:num>
  <w:num w:numId="2" w16cid:durableId="1866871098">
    <w:abstractNumId w:val="6"/>
  </w:num>
  <w:num w:numId="3" w16cid:durableId="1321302506">
    <w:abstractNumId w:val="3"/>
  </w:num>
  <w:num w:numId="4" w16cid:durableId="2073233674">
    <w:abstractNumId w:val="5"/>
  </w:num>
  <w:num w:numId="5" w16cid:durableId="501820127">
    <w:abstractNumId w:val="9"/>
  </w:num>
  <w:num w:numId="6" w16cid:durableId="440341892">
    <w:abstractNumId w:val="4"/>
  </w:num>
  <w:num w:numId="7" w16cid:durableId="23599556">
    <w:abstractNumId w:val="0"/>
  </w:num>
  <w:num w:numId="8" w16cid:durableId="52430815">
    <w:abstractNumId w:val="2"/>
  </w:num>
  <w:num w:numId="9" w16cid:durableId="1390038338">
    <w:abstractNumId w:val="7"/>
  </w:num>
  <w:num w:numId="10" w16cid:durableId="1394113244">
    <w:abstractNumId w:val="10"/>
  </w:num>
  <w:num w:numId="11" w16cid:durableId="608899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7A"/>
    <w:rsid w:val="000104E3"/>
    <w:rsid w:val="00067A79"/>
    <w:rsid w:val="000A6E68"/>
    <w:rsid w:val="000B129B"/>
    <w:rsid w:val="001E2EA9"/>
    <w:rsid w:val="003037E6"/>
    <w:rsid w:val="0049008F"/>
    <w:rsid w:val="004E02C0"/>
    <w:rsid w:val="005B56CB"/>
    <w:rsid w:val="00651E5F"/>
    <w:rsid w:val="00750CB5"/>
    <w:rsid w:val="007A173F"/>
    <w:rsid w:val="00804B26"/>
    <w:rsid w:val="00877149"/>
    <w:rsid w:val="00906ECE"/>
    <w:rsid w:val="00921025"/>
    <w:rsid w:val="009304FC"/>
    <w:rsid w:val="009560D1"/>
    <w:rsid w:val="00975AAD"/>
    <w:rsid w:val="00A0277A"/>
    <w:rsid w:val="00A87054"/>
    <w:rsid w:val="00AA5C8C"/>
    <w:rsid w:val="00BB6F85"/>
    <w:rsid w:val="00BD2F70"/>
    <w:rsid w:val="00CB1486"/>
    <w:rsid w:val="00DA1A3B"/>
    <w:rsid w:val="00DB4A51"/>
    <w:rsid w:val="00DF2932"/>
    <w:rsid w:val="00E06211"/>
    <w:rsid w:val="00E070E8"/>
    <w:rsid w:val="00E12446"/>
    <w:rsid w:val="00E63F56"/>
    <w:rsid w:val="00EA59FA"/>
    <w:rsid w:val="00ED2519"/>
    <w:rsid w:val="00F34472"/>
    <w:rsid w:val="00F34AA5"/>
    <w:rsid w:val="00F5470C"/>
    <w:rsid w:val="00F72111"/>
    <w:rsid w:val="00F93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F101"/>
  <w15:chartTrackingRefBased/>
  <w15:docId w15:val="{C203C6B5-7837-4342-84F1-05968B37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paragraph" w:styleId="Nadpis1">
    <w:name w:val="heading 1"/>
    <w:basedOn w:val="Normln"/>
    <w:next w:val="Normln"/>
    <w:link w:val="Nadpis1Char"/>
    <w:uiPriority w:val="9"/>
    <w:qFormat/>
    <w:rsid w:val="00A02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02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0277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0277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0277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0277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0277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0277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0277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0277A"/>
    <w:rPr>
      <w:rFonts w:asciiTheme="majorHAnsi" w:eastAsiaTheme="majorEastAsia" w:hAnsiTheme="majorHAnsi" w:cstheme="majorBidi"/>
      <w:color w:val="0F4761" w:themeColor="accent1" w:themeShade="BF"/>
      <w:sz w:val="40"/>
      <w:szCs w:val="40"/>
      <w:lang w:val="en-GB"/>
    </w:rPr>
  </w:style>
  <w:style w:type="character" w:customStyle="1" w:styleId="Nadpis2Char">
    <w:name w:val="Nadpis 2 Char"/>
    <w:basedOn w:val="Standardnpsmoodstavce"/>
    <w:link w:val="Nadpis2"/>
    <w:uiPriority w:val="9"/>
    <w:semiHidden/>
    <w:rsid w:val="00A0277A"/>
    <w:rPr>
      <w:rFonts w:asciiTheme="majorHAnsi" w:eastAsiaTheme="majorEastAsia" w:hAnsiTheme="majorHAnsi" w:cstheme="majorBidi"/>
      <w:color w:val="0F4761" w:themeColor="accent1" w:themeShade="BF"/>
      <w:sz w:val="32"/>
      <w:szCs w:val="32"/>
      <w:lang w:val="en-GB"/>
    </w:rPr>
  </w:style>
  <w:style w:type="character" w:customStyle="1" w:styleId="Nadpis3Char">
    <w:name w:val="Nadpis 3 Char"/>
    <w:basedOn w:val="Standardnpsmoodstavce"/>
    <w:link w:val="Nadpis3"/>
    <w:uiPriority w:val="9"/>
    <w:semiHidden/>
    <w:rsid w:val="00A0277A"/>
    <w:rPr>
      <w:rFonts w:eastAsiaTheme="majorEastAsia" w:cstheme="majorBidi"/>
      <w:color w:val="0F4761" w:themeColor="accent1" w:themeShade="BF"/>
      <w:sz w:val="28"/>
      <w:szCs w:val="28"/>
      <w:lang w:val="en-GB"/>
    </w:rPr>
  </w:style>
  <w:style w:type="character" w:customStyle="1" w:styleId="Nadpis4Char">
    <w:name w:val="Nadpis 4 Char"/>
    <w:basedOn w:val="Standardnpsmoodstavce"/>
    <w:link w:val="Nadpis4"/>
    <w:uiPriority w:val="9"/>
    <w:semiHidden/>
    <w:rsid w:val="00A0277A"/>
    <w:rPr>
      <w:rFonts w:eastAsiaTheme="majorEastAsia" w:cstheme="majorBidi"/>
      <w:i/>
      <w:iCs/>
      <w:color w:val="0F4761" w:themeColor="accent1" w:themeShade="BF"/>
      <w:lang w:val="en-GB"/>
    </w:rPr>
  </w:style>
  <w:style w:type="character" w:customStyle="1" w:styleId="Nadpis5Char">
    <w:name w:val="Nadpis 5 Char"/>
    <w:basedOn w:val="Standardnpsmoodstavce"/>
    <w:link w:val="Nadpis5"/>
    <w:uiPriority w:val="9"/>
    <w:semiHidden/>
    <w:rsid w:val="00A0277A"/>
    <w:rPr>
      <w:rFonts w:eastAsiaTheme="majorEastAsia" w:cstheme="majorBidi"/>
      <w:color w:val="0F4761" w:themeColor="accent1" w:themeShade="BF"/>
      <w:lang w:val="en-GB"/>
    </w:rPr>
  </w:style>
  <w:style w:type="character" w:customStyle="1" w:styleId="Nadpis6Char">
    <w:name w:val="Nadpis 6 Char"/>
    <w:basedOn w:val="Standardnpsmoodstavce"/>
    <w:link w:val="Nadpis6"/>
    <w:uiPriority w:val="9"/>
    <w:semiHidden/>
    <w:rsid w:val="00A0277A"/>
    <w:rPr>
      <w:rFonts w:eastAsiaTheme="majorEastAsia" w:cstheme="majorBidi"/>
      <w:i/>
      <w:iCs/>
      <w:color w:val="595959" w:themeColor="text1" w:themeTint="A6"/>
      <w:lang w:val="en-GB"/>
    </w:rPr>
  </w:style>
  <w:style w:type="character" w:customStyle="1" w:styleId="Nadpis7Char">
    <w:name w:val="Nadpis 7 Char"/>
    <w:basedOn w:val="Standardnpsmoodstavce"/>
    <w:link w:val="Nadpis7"/>
    <w:uiPriority w:val="9"/>
    <w:semiHidden/>
    <w:rsid w:val="00A0277A"/>
    <w:rPr>
      <w:rFonts w:eastAsiaTheme="majorEastAsia" w:cstheme="majorBidi"/>
      <w:color w:val="595959" w:themeColor="text1" w:themeTint="A6"/>
      <w:lang w:val="en-GB"/>
    </w:rPr>
  </w:style>
  <w:style w:type="character" w:customStyle="1" w:styleId="Nadpis8Char">
    <w:name w:val="Nadpis 8 Char"/>
    <w:basedOn w:val="Standardnpsmoodstavce"/>
    <w:link w:val="Nadpis8"/>
    <w:uiPriority w:val="9"/>
    <w:semiHidden/>
    <w:rsid w:val="00A0277A"/>
    <w:rPr>
      <w:rFonts w:eastAsiaTheme="majorEastAsia" w:cstheme="majorBidi"/>
      <w:i/>
      <w:iCs/>
      <w:color w:val="272727" w:themeColor="text1" w:themeTint="D8"/>
      <w:lang w:val="en-GB"/>
    </w:rPr>
  </w:style>
  <w:style w:type="character" w:customStyle="1" w:styleId="Nadpis9Char">
    <w:name w:val="Nadpis 9 Char"/>
    <w:basedOn w:val="Standardnpsmoodstavce"/>
    <w:link w:val="Nadpis9"/>
    <w:uiPriority w:val="9"/>
    <w:semiHidden/>
    <w:rsid w:val="00A0277A"/>
    <w:rPr>
      <w:rFonts w:eastAsiaTheme="majorEastAsia" w:cstheme="majorBidi"/>
      <w:color w:val="272727" w:themeColor="text1" w:themeTint="D8"/>
      <w:lang w:val="en-GB"/>
    </w:rPr>
  </w:style>
  <w:style w:type="paragraph" w:styleId="Nzev">
    <w:name w:val="Title"/>
    <w:basedOn w:val="Normln"/>
    <w:next w:val="Normln"/>
    <w:link w:val="NzevChar"/>
    <w:uiPriority w:val="10"/>
    <w:qFormat/>
    <w:rsid w:val="00A02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0277A"/>
    <w:rPr>
      <w:rFonts w:asciiTheme="majorHAnsi" w:eastAsiaTheme="majorEastAsia" w:hAnsiTheme="majorHAnsi" w:cstheme="majorBidi"/>
      <w:spacing w:val="-10"/>
      <w:kern w:val="28"/>
      <w:sz w:val="56"/>
      <w:szCs w:val="56"/>
      <w:lang w:val="en-GB"/>
    </w:rPr>
  </w:style>
  <w:style w:type="paragraph" w:styleId="Podnadpis">
    <w:name w:val="Subtitle"/>
    <w:basedOn w:val="Normln"/>
    <w:next w:val="Normln"/>
    <w:link w:val="PodnadpisChar"/>
    <w:uiPriority w:val="11"/>
    <w:qFormat/>
    <w:rsid w:val="00A0277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0277A"/>
    <w:rPr>
      <w:rFonts w:eastAsiaTheme="majorEastAsia" w:cstheme="majorBidi"/>
      <w:color w:val="595959" w:themeColor="text1" w:themeTint="A6"/>
      <w:spacing w:val="15"/>
      <w:sz w:val="28"/>
      <w:szCs w:val="28"/>
      <w:lang w:val="en-GB"/>
    </w:rPr>
  </w:style>
  <w:style w:type="paragraph" w:styleId="Citt">
    <w:name w:val="Quote"/>
    <w:basedOn w:val="Normln"/>
    <w:next w:val="Normln"/>
    <w:link w:val="CittChar"/>
    <w:uiPriority w:val="29"/>
    <w:qFormat/>
    <w:rsid w:val="00A0277A"/>
    <w:pPr>
      <w:spacing w:before="160"/>
      <w:jc w:val="center"/>
    </w:pPr>
    <w:rPr>
      <w:i/>
      <w:iCs/>
      <w:color w:val="404040" w:themeColor="text1" w:themeTint="BF"/>
    </w:rPr>
  </w:style>
  <w:style w:type="character" w:customStyle="1" w:styleId="CittChar">
    <w:name w:val="Citát Char"/>
    <w:basedOn w:val="Standardnpsmoodstavce"/>
    <w:link w:val="Citt"/>
    <w:uiPriority w:val="29"/>
    <w:rsid w:val="00A0277A"/>
    <w:rPr>
      <w:i/>
      <w:iCs/>
      <w:color w:val="404040" w:themeColor="text1" w:themeTint="BF"/>
      <w:lang w:val="en-GB"/>
    </w:rPr>
  </w:style>
  <w:style w:type="paragraph" w:styleId="Odstavecseseznamem">
    <w:name w:val="List Paragraph"/>
    <w:basedOn w:val="Normln"/>
    <w:uiPriority w:val="34"/>
    <w:qFormat/>
    <w:rsid w:val="00A0277A"/>
    <w:pPr>
      <w:ind w:left="720"/>
      <w:contextualSpacing/>
    </w:pPr>
  </w:style>
  <w:style w:type="character" w:styleId="Zdraznnintenzivn">
    <w:name w:val="Intense Emphasis"/>
    <w:basedOn w:val="Standardnpsmoodstavce"/>
    <w:uiPriority w:val="21"/>
    <w:qFormat/>
    <w:rsid w:val="00A0277A"/>
    <w:rPr>
      <w:i/>
      <w:iCs/>
      <w:color w:val="0F4761" w:themeColor="accent1" w:themeShade="BF"/>
    </w:rPr>
  </w:style>
  <w:style w:type="paragraph" w:styleId="Vrazncitt">
    <w:name w:val="Intense Quote"/>
    <w:basedOn w:val="Normln"/>
    <w:next w:val="Normln"/>
    <w:link w:val="VrazncittChar"/>
    <w:uiPriority w:val="30"/>
    <w:qFormat/>
    <w:rsid w:val="00A02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0277A"/>
    <w:rPr>
      <w:i/>
      <w:iCs/>
      <w:color w:val="0F4761" w:themeColor="accent1" w:themeShade="BF"/>
      <w:lang w:val="en-GB"/>
    </w:rPr>
  </w:style>
  <w:style w:type="character" w:styleId="Odkazintenzivn">
    <w:name w:val="Intense Reference"/>
    <w:basedOn w:val="Standardnpsmoodstavce"/>
    <w:uiPriority w:val="32"/>
    <w:qFormat/>
    <w:rsid w:val="00A0277A"/>
    <w:rPr>
      <w:b/>
      <w:bCs/>
      <w:smallCaps/>
      <w:color w:val="0F4761" w:themeColor="accent1" w:themeShade="BF"/>
      <w:spacing w:val="5"/>
    </w:rPr>
  </w:style>
  <w:style w:type="character" w:customStyle="1" w:styleId="footnotereference">
    <w:name w:val="footnotereference"/>
    <w:basedOn w:val="Standardnpsmoodstavce"/>
    <w:rsid w:val="00906ECE"/>
  </w:style>
  <w:style w:type="paragraph" w:styleId="Normlnweb">
    <w:name w:val="Normal (Web)"/>
    <w:basedOn w:val="Normln"/>
    <w:uiPriority w:val="99"/>
    <w:semiHidden/>
    <w:unhideWhenUsed/>
    <w:rsid w:val="00906ECE"/>
    <w:pPr>
      <w:spacing w:before="100" w:beforeAutospacing="1" w:after="100" w:afterAutospacing="1" w:line="240" w:lineRule="auto"/>
    </w:pPr>
    <w:rPr>
      <w:rFonts w:ascii="Times New Roman" w:eastAsia="Times New Roman" w:hAnsi="Times New Roman" w:cs="Times New Roman"/>
      <w:kern w:val="0"/>
      <w:lang w:val="cs-CZ" w:eastAsia="cs-CZ"/>
      <w14:ligatures w14:val="none"/>
    </w:rPr>
  </w:style>
  <w:style w:type="paragraph" w:styleId="Bezmezer">
    <w:name w:val="No Spacing"/>
    <w:uiPriority w:val="1"/>
    <w:qFormat/>
    <w:rsid w:val="00906ECE"/>
    <w:pPr>
      <w:spacing w:after="0" w:line="240" w:lineRule="auto"/>
    </w:pPr>
    <w:rPr>
      <w:lang w:val="en-GB"/>
    </w:rPr>
  </w:style>
  <w:style w:type="paragraph" w:styleId="Zhlav">
    <w:name w:val="header"/>
    <w:basedOn w:val="Normln"/>
    <w:link w:val="ZhlavChar"/>
    <w:uiPriority w:val="99"/>
    <w:unhideWhenUsed/>
    <w:rsid w:val="009304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04FC"/>
    <w:rPr>
      <w:lang w:val="en-GB"/>
    </w:rPr>
  </w:style>
  <w:style w:type="paragraph" w:styleId="Zpat">
    <w:name w:val="footer"/>
    <w:basedOn w:val="Normln"/>
    <w:link w:val="ZpatChar"/>
    <w:uiPriority w:val="99"/>
    <w:unhideWhenUsed/>
    <w:rsid w:val="009304FC"/>
    <w:pPr>
      <w:tabs>
        <w:tab w:val="center" w:pos="4536"/>
        <w:tab w:val="right" w:pos="9072"/>
      </w:tabs>
      <w:spacing w:after="0" w:line="240" w:lineRule="auto"/>
    </w:pPr>
  </w:style>
  <w:style w:type="character" w:customStyle="1" w:styleId="ZpatChar">
    <w:name w:val="Zápatí Char"/>
    <w:basedOn w:val="Standardnpsmoodstavce"/>
    <w:link w:val="Zpat"/>
    <w:uiPriority w:val="99"/>
    <w:rsid w:val="009304FC"/>
    <w:rPr>
      <w:lang w:val="en-GB"/>
    </w:rPr>
  </w:style>
  <w:style w:type="character" w:styleId="Zdraznn">
    <w:name w:val="Emphasis"/>
    <w:basedOn w:val="Standardnpsmoodstavce"/>
    <w:uiPriority w:val="20"/>
    <w:qFormat/>
    <w:rsid w:val="00804B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798</Words>
  <Characters>4709</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dvorakoe@prf.cuni.cz</dc:creator>
  <cp:keywords/>
  <dc:description/>
  <cp:lastModifiedBy>dvorakoe@prf.cuni.cz</cp:lastModifiedBy>
  <cp:revision>11</cp:revision>
  <dcterms:created xsi:type="dcterms:W3CDTF">2026-05-04T05:07:00Z</dcterms:created>
  <dcterms:modified xsi:type="dcterms:W3CDTF">2026-05-05T06:21:00Z</dcterms:modified>
</cp:coreProperties>
</file>