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4182" w14:textId="2525B994" w:rsidR="00F94ADD" w:rsidRPr="00F94ADD" w:rsidRDefault="00F94ADD" w:rsidP="00F94ADD">
      <w:pPr>
        <w:spacing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F94ADD">
        <w:rPr>
          <w:rFonts w:ascii="Calibri" w:hAnsi="Calibri" w:cs="Calibri"/>
          <w:b/>
          <w:bCs/>
          <w:sz w:val="36"/>
          <w:szCs w:val="36"/>
        </w:rPr>
        <w:t>Vícejazyčnost v Evropské unii</w:t>
      </w:r>
    </w:p>
    <w:p w14:paraId="7B2A44FC" w14:textId="4AB3FEE2" w:rsidR="00F94ADD" w:rsidRPr="00F94ADD" w:rsidRDefault="00F94ADD" w:rsidP="00F94ADD">
      <w:pPr>
        <w:spacing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94ADD">
        <w:rPr>
          <w:rFonts w:ascii="Calibri" w:hAnsi="Calibri" w:cs="Calibri"/>
          <w:b/>
          <w:bCs/>
          <w:sz w:val="28"/>
          <w:szCs w:val="28"/>
        </w:rPr>
        <w:t>Hana Ptáček, Matěj Myler</w:t>
      </w:r>
    </w:p>
    <w:p w14:paraId="229C08D9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Cíle referátu</w:t>
      </w:r>
    </w:p>
    <w:p w14:paraId="0748E7FD" w14:textId="31B0FF4C" w:rsidR="00F94ADD" w:rsidRPr="00F94ADD" w:rsidRDefault="00F94ADD" w:rsidP="00F94ADD">
      <w:p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>Cílem referátu je analyzovat politiku vícejazyčnosti v Evropské unii a její význam pro fungování EU. Zaměřujeme se na roli jazyků v demokracii, ekonomice a každodenním fungování institucí EU. Součástí je také identifikace hlavních výzev, které vícejazyčnost přináší, a posouzení její budoucnosti v digitálním a globalizovaném světě.</w:t>
      </w:r>
    </w:p>
    <w:p w14:paraId="12F87B94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Struktura referátu</w:t>
      </w:r>
    </w:p>
    <w:p w14:paraId="61A985C0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Úvod</w:t>
      </w:r>
    </w:p>
    <w:p w14:paraId="3F7CFE4D" w14:textId="77777777" w:rsidR="00F94ADD" w:rsidRPr="00F94ADD" w:rsidRDefault="00F94ADD" w:rsidP="00F94ADD">
      <w:pPr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EU jako unikátní vícejazyčný projekt </w:t>
      </w:r>
    </w:p>
    <w:p w14:paraId="3934AADD" w14:textId="77777777" w:rsidR="00F94ADD" w:rsidRPr="00F94ADD" w:rsidRDefault="00F94ADD" w:rsidP="00F94ADD">
      <w:pPr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24 oficiálních jazyků </w:t>
      </w:r>
    </w:p>
    <w:p w14:paraId="6B963BA7" w14:textId="2331FD86" w:rsidR="00F94ADD" w:rsidRPr="00F94ADD" w:rsidRDefault="00F94ADD" w:rsidP="00F94ADD">
      <w:pPr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význam jazyků pro identitu a politiku </w:t>
      </w:r>
    </w:p>
    <w:p w14:paraId="7D7B6F7F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Globální kontext</w:t>
      </w:r>
    </w:p>
    <w:p w14:paraId="037168D5" w14:textId="77777777" w:rsidR="00F94ADD" w:rsidRPr="00F94ADD" w:rsidRDefault="00F94ADD" w:rsidP="00F94ADD">
      <w:pPr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cca 7 000 jazyků na světě </w:t>
      </w:r>
    </w:p>
    <w:p w14:paraId="30CF5313" w14:textId="77777777" w:rsidR="00F94ADD" w:rsidRPr="00F94ADD" w:rsidRDefault="00F94ADD" w:rsidP="00F94ADD">
      <w:pPr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dominance několika hlavních jazyků </w:t>
      </w:r>
    </w:p>
    <w:p w14:paraId="1CB2D360" w14:textId="77777777" w:rsidR="00F94ADD" w:rsidRPr="00F94ADD" w:rsidRDefault="00F94ADD" w:rsidP="00F94ADD">
      <w:pPr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jazyková homogenizace </w:t>
      </w:r>
    </w:p>
    <w:p w14:paraId="7663A058" w14:textId="7936E157" w:rsidR="00F94ADD" w:rsidRPr="00F94ADD" w:rsidRDefault="00F94ADD" w:rsidP="00F94ADD">
      <w:pPr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ohrožení jazykové diverzity </w:t>
      </w:r>
    </w:p>
    <w:p w14:paraId="670B4B13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Politika vícejazyčnosti EU</w:t>
      </w:r>
    </w:p>
    <w:p w14:paraId="374C0287" w14:textId="77777777" w:rsidR="00F94ADD" w:rsidRPr="00F94ADD" w:rsidRDefault="00F94ADD" w:rsidP="00F94ADD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právní rámec (nařízení 1958) </w:t>
      </w:r>
    </w:p>
    <w:p w14:paraId="7A09BAB9" w14:textId="77777777" w:rsidR="00F94ADD" w:rsidRPr="00F94ADD" w:rsidRDefault="00F94ADD" w:rsidP="00F94ADD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rovnost jazyků </w:t>
      </w:r>
    </w:p>
    <w:p w14:paraId="624D488F" w14:textId="77777777" w:rsidR="00F94ADD" w:rsidRPr="00F94ADD" w:rsidRDefault="00F94ADD" w:rsidP="00F94ADD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cíle EU: </w:t>
      </w:r>
    </w:p>
    <w:p w14:paraId="49E591CE" w14:textId="77777777" w:rsidR="00F94ADD" w:rsidRPr="00F94ADD" w:rsidRDefault="00F94ADD" w:rsidP="00F94ADD">
      <w:pPr>
        <w:numPr>
          <w:ilvl w:val="1"/>
          <w:numId w:val="3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jazykové vzdělávání </w:t>
      </w:r>
    </w:p>
    <w:p w14:paraId="07176F58" w14:textId="77777777" w:rsidR="00F94ADD" w:rsidRPr="00F94ADD" w:rsidRDefault="00F94ADD" w:rsidP="00F94ADD">
      <w:pPr>
        <w:numPr>
          <w:ilvl w:val="1"/>
          <w:numId w:val="3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přístup k informacím </w:t>
      </w:r>
    </w:p>
    <w:p w14:paraId="29173ED7" w14:textId="77777777" w:rsidR="00F94ADD" w:rsidRPr="00F94ADD" w:rsidRDefault="00F94ADD" w:rsidP="00F94ADD">
      <w:pPr>
        <w:numPr>
          <w:ilvl w:val="1"/>
          <w:numId w:val="3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ekonomická efektivita </w:t>
      </w:r>
    </w:p>
    <w:p w14:paraId="541CCA23" w14:textId="08FCE02D" w:rsidR="00F94ADD" w:rsidRPr="00F94ADD" w:rsidRDefault="00F94ADD" w:rsidP="00F94ADD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princip: „mother tongue + 2 languages“ </w:t>
      </w:r>
    </w:p>
    <w:p w14:paraId="6F83729C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Jazykové schopnosti Evropanů</w:t>
      </w:r>
    </w:p>
    <w:p w14:paraId="20D0B8F8" w14:textId="77777777" w:rsidR="00F94ADD" w:rsidRPr="00F94ADD" w:rsidRDefault="00F94ADD" w:rsidP="00F94ADD">
      <w:pPr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většina obyvatel zná alespoň jeden jazyk </w:t>
      </w:r>
    </w:p>
    <w:p w14:paraId="0254C3F6" w14:textId="5F7E0526" w:rsidR="00F94ADD" w:rsidRPr="00F94ADD" w:rsidRDefault="00F94ADD" w:rsidP="00F94ADD">
      <w:pPr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>rozdíly mezi státy</w:t>
      </w:r>
      <w:r>
        <w:rPr>
          <w:rFonts w:ascii="Calibri" w:hAnsi="Calibri" w:cs="Calibri"/>
        </w:rPr>
        <w:t xml:space="preserve">, </w:t>
      </w:r>
      <w:r w:rsidRPr="00F94ADD">
        <w:rPr>
          <w:rFonts w:ascii="Calibri" w:hAnsi="Calibri" w:cs="Calibri"/>
        </w:rPr>
        <w:t xml:space="preserve">dominance angličtiny </w:t>
      </w:r>
    </w:p>
    <w:p w14:paraId="08411561" w14:textId="5845F460" w:rsidR="00F94ADD" w:rsidRPr="00F94ADD" w:rsidRDefault="00F94ADD" w:rsidP="00F94ADD">
      <w:pPr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mladší generace → lepší výsledky </w:t>
      </w:r>
    </w:p>
    <w:p w14:paraId="43DDEC07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Vícejazyčnost v praxi</w:t>
      </w:r>
    </w:p>
    <w:p w14:paraId="33B48E74" w14:textId="77777777" w:rsidR="00F94ADD" w:rsidRPr="00F94ADD" w:rsidRDefault="00F94ADD" w:rsidP="00F94ADD">
      <w:pPr>
        <w:numPr>
          <w:ilvl w:val="0"/>
          <w:numId w:val="5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Erasmus+ </w:t>
      </w:r>
    </w:p>
    <w:p w14:paraId="30C9BDAD" w14:textId="77777777" w:rsidR="00F94ADD" w:rsidRPr="00F94ADD" w:rsidRDefault="00F94ADD" w:rsidP="00F94ADD">
      <w:pPr>
        <w:numPr>
          <w:ilvl w:val="0"/>
          <w:numId w:val="5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lastRenderedPageBreak/>
        <w:t xml:space="preserve">European Language Label </w:t>
      </w:r>
    </w:p>
    <w:p w14:paraId="467E5EE7" w14:textId="77777777" w:rsidR="00F94ADD" w:rsidRPr="00F94ADD" w:rsidRDefault="00F94ADD" w:rsidP="00F94ADD">
      <w:pPr>
        <w:numPr>
          <w:ilvl w:val="0"/>
          <w:numId w:val="5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jazykové projekty (LISTIAC, Kamilala) </w:t>
      </w:r>
    </w:p>
    <w:p w14:paraId="790BA193" w14:textId="77777777" w:rsidR="00F94ADD" w:rsidRPr="00F94ADD" w:rsidRDefault="00F94ADD" w:rsidP="00F94ADD">
      <w:pPr>
        <w:numPr>
          <w:ilvl w:val="0"/>
          <w:numId w:val="5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digitální nástroje: </w:t>
      </w:r>
    </w:p>
    <w:p w14:paraId="4E42868D" w14:textId="77777777" w:rsidR="00F94ADD" w:rsidRPr="00F94ADD" w:rsidRDefault="00F94ADD" w:rsidP="00F94ADD">
      <w:pPr>
        <w:numPr>
          <w:ilvl w:val="1"/>
          <w:numId w:val="5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eTranslation </w:t>
      </w:r>
    </w:p>
    <w:p w14:paraId="0DC3BA9B" w14:textId="6396292F" w:rsidR="00F94ADD" w:rsidRPr="00F94ADD" w:rsidRDefault="00F94ADD" w:rsidP="00F94ADD">
      <w:pPr>
        <w:numPr>
          <w:ilvl w:val="1"/>
          <w:numId w:val="5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IATE </w:t>
      </w:r>
    </w:p>
    <w:p w14:paraId="28DA79CB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Ekonomický význam jazyků</w:t>
      </w:r>
    </w:p>
    <w:p w14:paraId="607F1E09" w14:textId="77777777" w:rsidR="00F94ADD" w:rsidRPr="00F94ADD" w:rsidRDefault="00F94ADD" w:rsidP="00F94ADD">
      <w:pPr>
        <w:numPr>
          <w:ilvl w:val="0"/>
          <w:numId w:val="6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jazyk = faktor konkurenceschopnosti </w:t>
      </w:r>
    </w:p>
    <w:p w14:paraId="07B02F71" w14:textId="77777777" w:rsidR="00F94ADD" w:rsidRPr="00F94ADD" w:rsidRDefault="00F94ADD" w:rsidP="00F94ADD">
      <w:pPr>
        <w:numPr>
          <w:ilvl w:val="0"/>
          <w:numId w:val="6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firmy ztrácejí kontrakty kvůli jazykům </w:t>
      </w:r>
    </w:p>
    <w:p w14:paraId="0D18B24F" w14:textId="77777777" w:rsidR="00F94ADD" w:rsidRPr="00F94ADD" w:rsidRDefault="00F94ADD" w:rsidP="00F94ADD">
      <w:pPr>
        <w:numPr>
          <w:ilvl w:val="0"/>
          <w:numId w:val="6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význam pro: </w:t>
      </w:r>
    </w:p>
    <w:p w14:paraId="077D3348" w14:textId="77777777" w:rsidR="00F94ADD" w:rsidRPr="00F94ADD" w:rsidRDefault="00F94ADD" w:rsidP="00F94ADD">
      <w:pPr>
        <w:numPr>
          <w:ilvl w:val="1"/>
          <w:numId w:val="6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export </w:t>
      </w:r>
    </w:p>
    <w:p w14:paraId="6924F592" w14:textId="77777777" w:rsidR="00F94ADD" w:rsidRPr="00F94ADD" w:rsidRDefault="00F94ADD" w:rsidP="00F94ADD">
      <w:pPr>
        <w:numPr>
          <w:ilvl w:val="1"/>
          <w:numId w:val="6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pracovní mobilitu </w:t>
      </w:r>
    </w:p>
    <w:p w14:paraId="41E5A60C" w14:textId="3EA931EC" w:rsidR="00F94ADD" w:rsidRPr="00F94ADD" w:rsidRDefault="00F94ADD" w:rsidP="00F94ADD">
      <w:pPr>
        <w:numPr>
          <w:ilvl w:val="1"/>
          <w:numId w:val="6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jednotný trh </w:t>
      </w:r>
    </w:p>
    <w:p w14:paraId="221FEA03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Výzvy vícejazyčnosti</w:t>
      </w:r>
    </w:p>
    <w:p w14:paraId="3D612BCA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Institucionální</w:t>
      </w:r>
    </w:p>
    <w:p w14:paraId="53D9AEC9" w14:textId="77777777" w:rsidR="00F94ADD" w:rsidRPr="00F94ADD" w:rsidRDefault="00F94ADD" w:rsidP="00F94ADD">
      <w:pPr>
        <w:numPr>
          <w:ilvl w:val="0"/>
          <w:numId w:val="7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vysoké náklady (~1 miliarda € ročně) </w:t>
      </w:r>
    </w:p>
    <w:p w14:paraId="639CF0F1" w14:textId="0F3FB8B7" w:rsidR="00F94ADD" w:rsidRPr="00F94ADD" w:rsidRDefault="00F94ADD" w:rsidP="00F94ADD">
      <w:pPr>
        <w:numPr>
          <w:ilvl w:val="0"/>
          <w:numId w:val="7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>složitost systému</w:t>
      </w:r>
      <w:r>
        <w:rPr>
          <w:rFonts w:ascii="Calibri" w:hAnsi="Calibri" w:cs="Calibri"/>
        </w:rPr>
        <w:t xml:space="preserve">, </w:t>
      </w:r>
      <w:r w:rsidRPr="00F94ADD">
        <w:rPr>
          <w:rFonts w:ascii="Calibri" w:hAnsi="Calibri" w:cs="Calibri"/>
        </w:rPr>
        <w:t xml:space="preserve">zpoždění a chyby v překladech </w:t>
      </w:r>
    </w:p>
    <w:p w14:paraId="15BC4451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Digitální</w:t>
      </w:r>
    </w:p>
    <w:p w14:paraId="72959FBB" w14:textId="77777777" w:rsidR="00F94ADD" w:rsidRPr="00F94ADD" w:rsidRDefault="00F94ADD" w:rsidP="00F94ADD">
      <w:pPr>
        <w:numPr>
          <w:ilvl w:val="0"/>
          <w:numId w:val="9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dominance angličtiny online </w:t>
      </w:r>
    </w:p>
    <w:p w14:paraId="711DADA2" w14:textId="77777777" w:rsidR="00F94ADD" w:rsidRPr="00F94ADD" w:rsidRDefault="00F94ADD" w:rsidP="00F94ADD">
      <w:pPr>
        <w:numPr>
          <w:ilvl w:val="0"/>
          <w:numId w:val="9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nedostatek dat pro malé jazyky </w:t>
      </w:r>
    </w:p>
    <w:p w14:paraId="1A9B24DA" w14:textId="77777777" w:rsidR="00F94ADD" w:rsidRPr="00F94ADD" w:rsidRDefault="00F94ADD" w:rsidP="00F94ADD">
      <w:pPr>
        <w:numPr>
          <w:ilvl w:val="0"/>
          <w:numId w:val="9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AI bias </w:t>
      </w:r>
    </w:p>
    <w:p w14:paraId="025A66BE" w14:textId="484784F0" w:rsidR="00F94ADD" w:rsidRPr="00F94ADD" w:rsidRDefault="00F94ADD" w:rsidP="00F94ADD">
      <w:pPr>
        <w:numPr>
          <w:ilvl w:val="0"/>
          <w:numId w:val="9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digitální nerovnost </w:t>
      </w:r>
    </w:p>
    <w:p w14:paraId="612442BD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Budoucnost vícejazyčnosti</w:t>
      </w:r>
    </w:p>
    <w:p w14:paraId="472143F3" w14:textId="77777777" w:rsidR="00F94ADD" w:rsidRPr="00F94ADD" w:rsidRDefault="00F94ADD" w:rsidP="00F94ADD">
      <w:pPr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tlak globalizace </w:t>
      </w:r>
    </w:p>
    <w:p w14:paraId="62389259" w14:textId="77777777" w:rsidR="00F94ADD" w:rsidRPr="00F94ADD" w:rsidRDefault="00F94ADD" w:rsidP="00F94ADD">
      <w:pPr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role technologií </w:t>
      </w:r>
    </w:p>
    <w:p w14:paraId="2F534EB4" w14:textId="77777777" w:rsidR="00F94ADD" w:rsidRPr="00F94ADD" w:rsidRDefault="00F94ADD" w:rsidP="00F94ADD">
      <w:pPr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rozšiřování EU </w:t>
      </w:r>
    </w:p>
    <w:p w14:paraId="52319604" w14:textId="7777777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t>Závěr</w:t>
      </w:r>
    </w:p>
    <w:p w14:paraId="535503B9" w14:textId="77777777" w:rsidR="00F94ADD" w:rsidRDefault="00F94ADD" w:rsidP="00F94ADD">
      <w:p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>Vícejazyčnost je jedním ze základních principů Evropské unie a klíčovým nástrojem pro zajištění demokracie, transparentnosti a rovnosti mezi členskými státy. Zároveň však představuje významné ekonomické, institucionální i technologické výzvy. EU se tak musí neustále snažit hledat rovnováhu mezi zachováním jazykové rozmanitosti a efektivním fungováním svých institucí v globalizovaném a digitálním světě.</w:t>
      </w:r>
    </w:p>
    <w:p w14:paraId="390A8601" w14:textId="77777777" w:rsidR="00F94ADD" w:rsidRDefault="00F94ADD" w:rsidP="00F94ADD">
      <w:pPr>
        <w:spacing w:line="240" w:lineRule="auto"/>
        <w:rPr>
          <w:rFonts w:ascii="Calibri" w:hAnsi="Calibri" w:cs="Calibri"/>
        </w:rPr>
      </w:pPr>
    </w:p>
    <w:p w14:paraId="16ECADF6" w14:textId="4DA3ABD7" w:rsidR="00F94ADD" w:rsidRPr="00F94ADD" w:rsidRDefault="00F94ADD" w:rsidP="00F94ADD">
      <w:pPr>
        <w:spacing w:line="240" w:lineRule="auto"/>
        <w:rPr>
          <w:rFonts w:ascii="Calibri" w:hAnsi="Calibri" w:cs="Calibri"/>
          <w:b/>
          <w:bCs/>
        </w:rPr>
      </w:pPr>
      <w:r w:rsidRPr="00F94ADD">
        <w:rPr>
          <w:rFonts w:ascii="Calibri" w:hAnsi="Calibri" w:cs="Calibri"/>
          <w:b/>
          <w:bCs/>
        </w:rPr>
        <w:lastRenderedPageBreak/>
        <w:t>Zdroje</w:t>
      </w:r>
    </w:p>
    <w:p w14:paraId="7D7AE34E" w14:textId="410C7B8D" w:rsidR="00F94ADD" w:rsidRPr="00F94ADD" w:rsidRDefault="00F94ADD" w:rsidP="00F94ADD">
      <w:pPr>
        <w:numPr>
          <w:ilvl w:val="0"/>
          <w:numId w:val="11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Czyżewska, D. „Challenges of Multilingualism in the EU“. Poznań University of Economics Review. </w:t>
      </w:r>
      <w:hyperlink r:id="rId7" w:tgtFrame="_new" w:history="1">
        <w:r w:rsidRPr="00F94ADD">
          <w:rPr>
            <w:rStyle w:val="Hypertextovodkaz"/>
            <w:rFonts w:ascii="Calibri" w:hAnsi="Calibri" w:cs="Calibri"/>
          </w:rPr>
          <w:t>https://journals.ue.poznan.pl/ebr/article/view/834/592</w:t>
        </w:r>
      </w:hyperlink>
      <w:r w:rsidRPr="00F94ADD">
        <w:rPr>
          <w:rFonts w:ascii="Calibri" w:hAnsi="Calibri" w:cs="Calibri"/>
        </w:rPr>
        <w:t xml:space="preserve"> (staženo 30. dubna 2026). </w:t>
      </w:r>
    </w:p>
    <w:p w14:paraId="3B4973EA" w14:textId="4E1CB790" w:rsidR="00F94ADD" w:rsidRPr="00F94ADD" w:rsidRDefault="00F94ADD" w:rsidP="00F94ADD">
      <w:pPr>
        <w:numPr>
          <w:ilvl w:val="0"/>
          <w:numId w:val="12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European Commission. „EU Multilingualism Policy: Promoting Language Diversity and Language Learning“. </w:t>
      </w:r>
      <w:hyperlink r:id="rId8" w:tgtFrame="_new" w:history="1">
        <w:r w:rsidRPr="00F94ADD">
          <w:rPr>
            <w:rStyle w:val="Hypertextovodkaz"/>
            <w:rFonts w:ascii="Calibri" w:hAnsi="Calibri" w:cs="Calibri"/>
          </w:rPr>
          <w:t>https://translation.ec.europa.eu/languages-eu-why-multilingualism-matters/eu-multilingualism-policy-promoting-language-diversity-and-language-learning_en</w:t>
        </w:r>
      </w:hyperlink>
      <w:r w:rsidRPr="00F94ADD">
        <w:rPr>
          <w:rFonts w:ascii="Calibri" w:hAnsi="Calibri" w:cs="Calibri"/>
        </w:rPr>
        <w:t xml:space="preserve"> (staženo 30. dubna 2026). </w:t>
      </w:r>
    </w:p>
    <w:p w14:paraId="2BC1250F" w14:textId="3D84ABDB" w:rsidR="00F94ADD" w:rsidRPr="00F94ADD" w:rsidRDefault="00F94ADD" w:rsidP="00F94ADD">
      <w:pPr>
        <w:numPr>
          <w:ilvl w:val="0"/>
          <w:numId w:val="13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European Commission. „Linguistic Diversity in the EU“. </w:t>
      </w:r>
      <w:hyperlink r:id="rId9" w:tgtFrame="_new" w:history="1">
        <w:r w:rsidRPr="00F94ADD">
          <w:rPr>
            <w:rStyle w:val="Hypertextovodkaz"/>
            <w:rFonts w:ascii="Calibri" w:hAnsi="Calibri" w:cs="Calibri"/>
          </w:rPr>
          <w:t>https://translation.ec.europa.eu/languages-eu-why-multilingualism-matters/linguistic-diversity-eu_en</w:t>
        </w:r>
      </w:hyperlink>
      <w:r w:rsidRPr="00F94ADD">
        <w:rPr>
          <w:rFonts w:ascii="Calibri" w:hAnsi="Calibri" w:cs="Calibri"/>
        </w:rPr>
        <w:t xml:space="preserve"> (staženo 30. dubna 2026). </w:t>
      </w:r>
    </w:p>
    <w:p w14:paraId="37197A68" w14:textId="6A1BA488" w:rsidR="00F94ADD" w:rsidRPr="00F94ADD" w:rsidRDefault="00F94ADD" w:rsidP="00F94ADD">
      <w:pPr>
        <w:numPr>
          <w:ilvl w:val="0"/>
          <w:numId w:val="14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European Commission. „Multilingualism in Practice: Programmes and Projects“. </w:t>
      </w:r>
      <w:hyperlink r:id="rId10" w:tgtFrame="_new" w:history="1">
        <w:r w:rsidRPr="00F94ADD">
          <w:rPr>
            <w:rStyle w:val="Hypertextovodkaz"/>
            <w:rFonts w:ascii="Calibri" w:hAnsi="Calibri" w:cs="Calibri"/>
          </w:rPr>
          <w:t>https://translation.ec.europa.eu/languages-eu-why-multilingualism-matters/multilingualism-practice-programmes-and-projects_en</w:t>
        </w:r>
      </w:hyperlink>
      <w:r w:rsidRPr="00F94ADD">
        <w:rPr>
          <w:rFonts w:ascii="Calibri" w:hAnsi="Calibri" w:cs="Calibri"/>
        </w:rPr>
        <w:t xml:space="preserve"> (staženo 30. dubna 2026). </w:t>
      </w:r>
    </w:p>
    <w:p w14:paraId="437ED406" w14:textId="47D5D32D" w:rsidR="00F94ADD" w:rsidRPr="00F94ADD" w:rsidRDefault="00F94ADD" w:rsidP="00F94ADD">
      <w:pPr>
        <w:numPr>
          <w:ilvl w:val="0"/>
          <w:numId w:val="15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European Parliament Research Service. „Multilingualism in the European Union“. </w:t>
      </w:r>
      <w:hyperlink r:id="rId11" w:tgtFrame="_new" w:history="1">
        <w:r w:rsidRPr="00F94ADD">
          <w:rPr>
            <w:rStyle w:val="Hypertextovodkaz"/>
            <w:rFonts w:ascii="Calibri" w:hAnsi="Calibri" w:cs="Calibri"/>
          </w:rPr>
          <w:t>https://www.europarl.europa.eu/thinktank/en/document/EPRS_BRI(2019)642207</w:t>
        </w:r>
      </w:hyperlink>
      <w:r w:rsidRPr="00F94ADD">
        <w:rPr>
          <w:rFonts w:ascii="Calibri" w:hAnsi="Calibri" w:cs="Calibri"/>
        </w:rPr>
        <w:t xml:space="preserve"> (staženo 30. dubna 2026). </w:t>
      </w:r>
    </w:p>
    <w:p w14:paraId="4454A021" w14:textId="2AD3D728" w:rsidR="00F94ADD" w:rsidRPr="00F94ADD" w:rsidRDefault="00F94ADD" w:rsidP="00F94ADD">
      <w:pPr>
        <w:numPr>
          <w:ilvl w:val="0"/>
          <w:numId w:val="16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European Union. „Languages in the EU“. </w:t>
      </w:r>
      <w:hyperlink r:id="rId12" w:tgtFrame="_new" w:history="1">
        <w:r w:rsidRPr="00F94ADD">
          <w:rPr>
            <w:rStyle w:val="Hypertextovodkaz"/>
            <w:rFonts w:ascii="Calibri" w:hAnsi="Calibri" w:cs="Calibri"/>
          </w:rPr>
          <w:t>https://european-union.europa.eu/principles-countries-history/languages_en</w:t>
        </w:r>
      </w:hyperlink>
      <w:r w:rsidRPr="00F94ADD">
        <w:rPr>
          <w:rFonts w:ascii="Calibri" w:hAnsi="Calibri" w:cs="Calibri"/>
        </w:rPr>
        <w:t xml:space="preserve"> (staženo 30. dubna 2026). </w:t>
      </w:r>
    </w:p>
    <w:p w14:paraId="7D8FF052" w14:textId="77777777" w:rsidR="00F94ADD" w:rsidRPr="00F94ADD" w:rsidRDefault="00F94ADD" w:rsidP="00F94ADD">
      <w:pPr>
        <w:numPr>
          <w:ilvl w:val="0"/>
          <w:numId w:val="17"/>
        </w:numPr>
        <w:spacing w:line="240" w:lineRule="auto"/>
        <w:rPr>
          <w:rFonts w:ascii="Calibri" w:hAnsi="Calibri" w:cs="Calibri"/>
        </w:rPr>
      </w:pPr>
      <w:r w:rsidRPr="00F94ADD">
        <w:rPr>
          <w:rFonts w:ascii="Calibri" w:hAnsi="Calibri" w:cs="Calibri"/>
        </w:rPr>
        <w:t xml:space="preserve">Eurostat. „Foreign Language Learning Statistics“. </w:t>
      </w:r>
      <w:hyperlink r:id="rId13" w:tgtFrame="_new" w:history="1">
        <w:r w:rsidRPr="00F94ADD">
          <w:rPr>
            <w:rStyle w:val="Hypertextovodkaz"/>
            <w:rFonts w:ascii="Calibri" w:hAnsi="Calibri" w:cs="Calibri"/>
          </w:rPr>
          <w:t>https://ec.europa.eu/eurostat/statistics-explained/index.php?title=Foreign_language_learning_statistics</w:t>
        </w:r>
      </w:hyperlink>
      <w:r w:rsidRPr="00F94ADD">
        <w:rPr>
          <w:rFonts w:ascii="Calibri" w:hAnsi="Calibri" w:cs="Calibri"/>
        </w:rPr>
        <w:t xml:space="preserve"> (staženo 30. dubna 2026).</w:t>
      </w:r>
    </w:p>
    <w:p w14:paraId="648BD7BC" w14:textId="77777777" w:rsidR="00F94ADD" w:rsidRPr="00F94ADD" w:rsidRDefault="00F94ADD" w:rsidP="00F94ADD">
      <w:pPr>
        <w:spacing w:line="240" w:lineRule="auto"/>
        <w:rPr>
          <w:rFonts w:ascii="Calibri" w:hAnsi="Calibri" w:cs="Calibri"/>
        </w:rPr>
      </w:pPr>
    </w:p>
    <w:p w14:paraId="41C72E6F" w14:textId="77777777" w:rsidR="00F94ADD" w:rsidRPr="00F94ADD" w:rsidRDefault="00F94ADD" w:rsidP="00F94ADD">
      <w:pPr>
        <w:spacing w:line="240" w:lineRule="auto"/>
        <w:rPr>
          <w:rFonts w:ascii="Calibri" w:hAnsi="Calibri" w:cs="Calibri"/>
        </w:rPr>
      </w:pPr>
    </w:p>
    <w:sectPr w:rsidR="00F94ADD" w:rsidRPr="00F94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F7C9" w14:textId="77777777" w:rsidR="008B0B3F" w:rsidRDefault="008B0B3F" w:rsidP="00F94ADD">
      <w:pPr>
        <w:spacing w:after="0" w:line="240" w:lineRule="auto"/>
      </w:pPr>
      <w:r>
        <w:separator/>
      </w:r>
    </w:p>
  </w:endnote>
  <w:endnote w:type="continuationSeparator" w:id="0">
    <w:p w14:paraId="301AFE6B" w14:textId="77777777" w:rsidR="008B0B3F" w:rsidRDefault="008B0B3F" w:rsidP="00F94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DA33F" w14:textId="77777777" w:rsidR="008B0B3F" w:rsidRDefault="008B0B3F" w:rsidP="00F94ADD">
      <w:pPr>
        <w:spacing w:after="0" w:line="240" w:lineRule="auto"/>
      </w:pPr>
      <w:r>
        <w:separator/>
      </w:r>
    </w:p>
  </w:footnote>
  <w:footnote w:type="continuationSeparator" w:id="0">
    <w:p w14:paraId="59ADDEFF" w14:textId="77777777" w:rsidR="008B0B3F" w:rsidRDefault="008B0B3F" w:rsidP="00F94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2B27"/>
    <w:multiLevelType w:val="multilevel"/>
    <w:tmpl w:val="8340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76520"/>
    <w:multiLevelType w:val="multilevel"/>
    <w:tmpl w:val="7BEC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3226B4"/>
    <w:multiLevelType w:val="multilevel"/>
    <w:tmpl w:val="E802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7685C"/>
    <w:multiLevelType w:val="multilevel"/>
    <w:tmpl w:val="B0BE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E3779F"/>
    <w:multiLevelType w:val="multilevel"/>
    <w:tmpl w:val="C302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ED4D11"/>
    <w:multiLevelType w:val="multilevel"/>
    <w:tmpl w:val="7B00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B548C1"/>
    <w:multiLevelType w:val="multilevel"/>
    <w:tmpl w:val="D1BC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7248C"/>
    <w:multiLevelType w:val="multilevel"/>
    <w:tmpl w:val="9FCE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7D469C"/>
    <w:multiLevelType w:val="multilevel"/>
    <w:tmpl w:val="1D2A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C41295"/>
    <w:multiLevelType w:val="multilevel"/>
    <w:tmpl w:val="1B5E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4D5BE2"/>
    <w:multiLevelType w:val="multilevel"/>
    <w:tmpl w:val="574E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65F5B"/>
    <w:multiLevelType w:val="multilevel"/>
    <w:tmpl w:val="E8EC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2F4151"/>
    <w:multiLevelType w:val="multilevel"/>
    <w:tmpl w:val="1B7A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303683"/>
    <w:multiLevelType w:val="multilevel"/>
    <w:tmpl w:val="EB40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F01FF9"/>
    <w:multiLevelType w:val="multilevel"/>
    <w:tmpl w:val="A9F4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5F7E6A"/>
    <w:multiLevelType w:val="multilevel"/>
    <w:tmpl w:val="0F0C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E67444"/>
    <w:multiLevelType w:val="multilevel"/>
    <w:tmpl w:val="649A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9506649">
    <w:abstractNumId w:val="14"/>
  </w:num>
  <w:num w:numId="2" w16cid:durableId="514421406">
    <w:abstractNumId w:val="10"/>
  </w:num>
  <w:num w:numId="3" w16cid:durableId="578171358">
    <w:abstractNumId w:val="12"/>
  </w:num>
  <w:num w:numId="4" w16cid:durableId="1991667173">
    <w:abstractNumId w:val="8"/>
  </w:num>
  <w:num w:numId="5" w16cid:durableId="2139488589">
    <w:abstractNumId w:val="7"/>
  </w:num>
  <w:num w:numId="6" w16cid:durableId="1585185315">
    <w:abstractNumId w:val="2"/>
  </w:num>
  <w:num w:numId="7" w16cid:durableId="1368991202">
    <w:abstractNumId w:val="4"/>
  </w:num>
  <w:num w:numId="8" w16cid:durableId="1183011000">
    <w:abstractNumId w:val="0"/>
  </w:num>
  <w:num w:numId="9" w16cid:durableId="744107138">
    <w:abstractNumId w:val="16"/>
  </w:num>
  <w:num w:numId="10" w16cid:durableId="923029254">
    <w:abstractNumId w:val="5"/>
  </w:num>
  <w:num w:numId="11" w16cid:durableId="1954439685">
    <w:abstractNumId w:val="15"/>
  </w:num>
  <w:num w:numId="12" w16cid:durableId="1351374079">
    <w:abstractNumId w:val="6"/>
  </w:num>
  <w:num w:numId="13" w16cid:durableId="1938322242">
    <w:abstractNumId w:val="1"/>
  </w:num>
  <w:num w:numId="14" w16cid:durableId="63920142">
    <w:abstractNumId w:val="11"/>
  </w:num>
  <w:num w:numId="15" w16cid:durableId="288169989">
    <w:abstractNumId w:val="9"/>
  </w:num>
  <w:num w:numId="16" w16cid:durableId="2098744000">
    <w:abstractNumId w:val="3"/>
  </w:num>
  <w:num w:numId="17" w16cid:durableId="7597645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DD"/>
    <w:rsid w:val="0017211F"/>
    <w:rsid w:val="003004FD"/>
    <w:rsid w:val="008B0B3F"/>
    <w:rsid w:val="00C9506A"/>
    <w:rsid w:val="00F94ADD"/>
    <w:rsid w:val="00FA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2A08"/>
  <w15:chartTrackingRefBased/>
  <w15:docId w15:val="{FCEFEEE2-7750-45CE-BE78-29EEC13B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4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4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4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4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4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4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4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4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4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4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4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4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4A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4A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4A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4A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4A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4A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4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4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4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4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4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4A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4A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4AD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4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4AD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4AD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94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ADD"/>
  </w:style>
  <w:style w:type="paragraph" w:styleId="Zpat">
    <w:name w:val="footer"/>
    <w:basedOn w:val="Normln"/>
    <w:link w:val="ZpatChar"/>
    <w:uiPriority w:val="99"/>
    <w:unhideWhenUsed/>
    <w:rsid w:val="00F94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ADD"/>
  </w:style>
  <w:style w:type="character" w:styleId="Hypertextovodkaz">
    <w:name w:val="Hyperlink"/>
    <w:basedOn w:val="Standardnpsmoodstavce"/>
    <w:uiPriority w:val="99"/>
    <w:unhideWhenUsed/>
    <w:rsid w:val="00F94AD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94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ion.ec.europa.eu/languages-eu-why-multilingualism-matters/eu-multilingualism-policy-promoting-language-diversity-and-language-learning_en" TargetMode="External"/><Relationship Id="rId13" Type="http://schemas.openxmlformats.org/officeDocument/2006/relationships/hyperlink" Target="https://ec.europa.eu/eurostat/statistics-explained/index.php?title=Foreign_language_learning_statistics&amp;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urnals.ue.poznan.pl/ebr/article/view/834/592" TargetMode="External"/><Relationship Id="rId12" Type="http://schemas.openxmlformats.org/officeDocument/2006/relationships/hyperlink" Target="https://european-union.europa.eu/principles-countries-history/languages_en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uroparl.europa.eu/thinktank/en/document/EPRS_BRI(2019)64220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ranslation.ec.europa.eu/languages-eu-why-multilingualism-matters/multilingualism-practice-programmes-and-projects_en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nslation.ec.europa.eu/languages-eu-why-multilingualism-matters/linguistic-diversity-eu_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Myler</dc:creator>
  <cp:keywords/>
  <dc:description/>
  <cp:lastModifiedBy>Eliška</cp:lastModifiedBy>
  <cp:revision>2</cp:revision>
  <dcterms:created xsi:type="dcterms:W3CDTF">2026-04-30T04:55:00Z</dcterms:created>
  <dcterms:modified xsi:type="dcterms:W3CDTF">2026-04-30T04:55:00Z</dcterms:modified>
</cp:coreProperties>
</file>