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12B7C" w:rsidRDefault="00000000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Kultura ve vnějších vztazích EU</w:t>
      </w:r>
    </w:p>
    <w:p w14:paraId="00000002" w14:textId="77777777" w:rsidR="00712B7C" w:rsidRDefault="00712B7C">
      <w:pPr>
        <w:rPr>
          <w:sz w:val="30"/>
          <w:szCs w:val="30"/>
        </w:rPr>
      </w:pPr>
    </w:p>
    <w:p w14:paraId="00000003" w14:textId="77777777" w:rsidR="00712B7C" w:rsidRDefault="00712B7C">
      <w:pPr>
        <w:jc w:val="both"/>
      </w:pPr>
    </w:p>
    <w:p w14:paraId="00000004" w14:textId="77777777" w:rsidR="00712B7C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Cíle referátu:</w:t>
      </w:r>
    </w:p>
    <w:p w14:paraId="00000005" w14:textId="77777777" w:rsidR="00712B7C" w:rsidRDefault="00712B7C">
      <w:pPr>
        <w:jc w:val="both"/>
        <w:rPr>
          <w:b/>
          <w:bCs/>
          <w:sz w:val="24"/>
          <w:szCs w:val="24"/>
        </w:rPr>
      </w:pPr>
    </w:p>
    <w:p w14:paraId="00000006" w14:textId="77777777" w:rsidR="00712B7C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Cílem referátu je analyzovat roli kultury v zahraniční politice EU, zejména rozdíl mezi kulturní diplomacií (CD) a mezinárodními kulturními vztahy (ICR). Zaměřujeme se také na vývoj této politiky a její hlavní limity v současném mezinárodním kontextu. Cílem je mimo jiné ukázat, proč je využití kultury v externích vztazích EU problematické a jak je ovlivněno geopolitickými změnami.</w:t>
      </w:r>
    </w:p>
    <w:p w14:paraId="00000007" w14:textId="77777777" w:rsidR="00712B7C" w:rsidRDefault="00712B7C"/>
    <w:p w14:paraId="00000008" w14:textId="77777777" w:rsidR="00712B7C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Struktura referátu:</w:t>
      </w:r>
    </w:p>
    <w:p w14:paraId="00000009" w14:textId="77777777" w:rsidR="00712B7C" w:rsidRDefault="00712B7C">
      <w:pPr>
        <w:rPr>
          <w:b/>
          <w:bCs/>
          <w:sz w:val="24"/>
          <w:szCs w:val="24"/>
        </w:rPr>
      </w:pPr>
    </w:p>
    <w:p w14:paraId="0000000A" w14:textId="77777777" w:rsidR="00712B7C" w:rsidRDefault="00000000">
      <w:pPr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Úvod</w:t>
      </w:r>
    </w:p>
    <w:p w14:paraId="0000000B" w14:textId="77777777" w:rsidR="00712B7C" w:rsidRDefault="00000000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Globální kontext 21. století</w:t>
      </w:r>
    </w:p>
    <w:p w14:paraId="0000000C" w14:textId="77777777" w:rsidR="00712B7C" w:rsidRDefault="00000000">
      <w:pPr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Rozklad norem fungujících od 2. sv. v.</w:t>
      </w:r>
    </w:p>
    <w:p w14:paraId="0000000D" w14:textId="77777777" w:rsidR="00712B7C" w:rsidRDefault="00000000">
      <w:pPr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Odklon od liberálního internacionalismu k binárnímu systému-konkurence USA x Čína→ multiplexní světový řád</w:t>
      </w:r>
    </w:p>
    <w:p w14:paraId="0000000E" w14:textId="77777777" w:rsidR="00712B7C" w:rsidRDefault="00712B7C">
      <w:pPr>
        <w:rPr>
          <w:sz w:val="24"/>
          <w:szCs w:val="24"/>
        </w:rPr>
      </w:pPr>
    </w:p>
    <w:p w14:paraId="0000000F" w14:textId="77777777" w:rsidR="00712B7C" w:rsidRDefault="00000000">
      <w:pPr>
        <w:pStyle w:val="Nadpis2"/>
        <w:keepNext w:val="0"/>
        <w:keepLines w:val="0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bookmarkStart w:id="0" w:name="_w3udpevq5g6r" w:colFirst="0" w:colLast="0"/>
      <w:bookmarkEnd w:id="0"/>
      <w:r>
        <w:rPr>
          <w:b/>
          <w:bCs/>
          <w:sz w:val="24"/>
          <w:szCs w:val="24"/>
        </w:rPr>
        <w:t>Historie a vývoj politiky EU (milníky)</w:t>
      </w:r>
    </w:p>
    <w:p w14:paraId="00000010" w14:textId="77777777" w:rsidR="00712B7C" w:rsidRDefault="00000000">
      <w:pPr>
        <w:pStyle w:val="Nadpis2"/>
        <w:keepNext w:val="0"/>
        <w:keepLines w:val="0"/>
        <w:numPr>
          <w:ilvl w:val="0"/>
          <w:numId w:val="4"/>
        </w:numPr>
        <w:spacing w:before="0" w:after="0"/>
        <w:rPr>
          <w:sz w:val="24"/>
          <w:szCs w:val="24"/>
        </w:rPr>
      </w:pPr>
      <w:bookmarkStart w:id="1" w:name="_5p6x3u9mv37c" w:colFirst="0" w:colLast="0"/>
      <w:bookmarkEnd w:id="1"/>
      <w:r>
        <w:rPr>
          <w:sz w:val="24"/>
          <w:szCs w:val="24"/>
        </w:rPr>
        <w:t>2014 – první report</w:t>
      </w:r>
    </w:p>
    <w:p w14:paraId="00000011" w14:textId="77777777" w:rsidR="00712B7C" w:rsidRDefault="00000000">
      <w:pPr>
        <w:pStyle w:val="Nadpis2"/>
        <w:keepNext w:val="0"/>
        <w:keepLines w:val="0"/>
        <w:numPr>
          <w:ilvl w:val="0"/>
          <w:numId w:val="4"/>
        </w:numPr>
        <w:spacing w:before="0" w:after="0"/>
        <w:rPr>
          <w:sz w:val="24"/>
          <w:szCs w:val="24"/>
        </w:rPr>
      </w:pPr>
      <w:bookmarkStart w:id="2" w:name="_pod3zwkl3421" w:colFirst="0" w:colLast="0"/>
      <w:bookmarkEnd w:id="2"/>
      <w:r>
        <w:rPr>
          <w:sz w:val="24"/>
          <w:szCs w:val="24"/>
        </w:rPr>
        <w:t>2016 – strategie ICR</w:t>
      </w:r>
    </w:p>
    <w:p w14:paraId="00000012" w14:textId="77777777" w:rsidR="00712B7C" w:rsidRDefault="00000000">
      <w:pPr>
        <w:pStyle w:val="Nadpis2"/>
        <w:keepNext w:val="0"/>
        <w:keepLines w:val="0"/>
        <w:numPr>
          <w:ilvl w:val="0"/>
          <w:numId w:val="4"/>
        </w:numPr>
        <w:spacing w:before="0" w:after="80"/>
        <w:rPr>
          <w:sz w:val="24"/>
          <w:szCs w:val="24"/>
        </w:rPr>
      </w:pPr>
      <w:bookmarkStart w:id="3" w:name="_tfs8o5pep6lz" w:colFirst="0" w:colLast="0"/>
      <w:bookmarkEnd w:id="3"/>
      <w:r>
        <w:rPr>
          <w:sz w:val="24"/>
          <w:szCs w:val="24"/>
        </w:rPr>
        <w:t>2019 – rámec pro implementaci</w:t>
      </w:r>
    </w:p>
    <w:p w14:paraId="00000013" w14:textId="77777777" w:rsidR="00712B7C" w:rsidRDefault="00712B7C">
      <w:pPr>
        <w:rPr>
          <w:sz w:val="24"/>
          <w:szCs w:val="24"/>
        </w:rPr>
      </w:pPr>
    </w:p>
    <w:p w14:paraId="00000014" w14:textId="77777777" w:rsidR="00712B7C" w:rsidRDefault="00000000">
      <w:pPr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Přístupy k roli kultury ve vnějších vztazích EU</w:t>
      </w:r>
    </w:p>
    <w:p w14:paraId="00000015" w14:textId="77777777" w:rsidR="00712B7C" w:rsidRDefault="00000000">
      <w:pPr>
        <w:numPr>
          <w:ilvl w:val="0"/>
          <w:numId w:val="5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CD - mobilizace</w:t>
      </w:r>
      <w:proofErr w:type="gramEnd"/>
      <w:r>
        <w:rPr>
          <w:sz w:val="24"/>
          <w:szCs w:val="24"/>
        </w:rPr>
        <w:t xml:space="preserve"> kultury k aktivaci soft </w:t>
      </w:r>
      <w:proofErr w:type="spellStart"/>
      <w:r>
        <w:rPr>
          <w:sz w:val="24"/>
          <w:szCs w:val="24"/>
        </w:rPr>
        <w:t>power</w:t>
      </w:r>
      <w:proofErr w:type="spellEnd"/>
      <w:r>
        <w:rPr>
          <w:sz w:val="24"/>
          <w:szCs w:val="24"/>
        </w:rPr>
        <w:t>, posílení postavení, reputace a vlivu</w:t>
      </w:r>
    </w:p>
    <w:p w14:paraId="00000016" w14:textId="77777777" w:rsidR="00712B7C" w:rsidRDefault="00000000">
      <w:pPr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důraz na politický charakter kultury</w:t>
      </w:r>
    </w:p>
    <w:p w14:paraId="00000017" w14:textId="77777777" w:rsidR="00712B7C" w:rsidRDefault="00712B7C">
      <w:pPr>
        <w:rPr>
          <w:sz w:val="24"/>
          <w:szCs w:val="24"/>
        </w:rPr>
      </w:pPr>
    </w:p>
    <w:p w14:paraId="00000018" w14:textId="77777777" w:rsidR="00712B7C" w:rsidRDefault="00000000">
      <w:pPr>
        <w:numPr>
          <w:ilvl w:val="0"/>
          <w:numId w:val="5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ICR - vytváření</w:t>
      </w:r>
      <w:proofErr w:type="gramEnd"/>
      <w:r>
        <w:rPr>
          <w:sz w:val="24"/>
          <w:szCs w:val="24"/>
        </w:rPr>
        <w:t xml:space="preserve"> konsenzu a společného vědění</w:t>
      </w:r>
    </w:p>
    <w:p w14:paraId="00000019" w14:textId="77777777" w:rsidR="00712B7C" w:rsidRDefault="00000000">
      <w:pPr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oboustranný proces, spolupráce</w:t>
      </w:r>
    </w:p>
    <w:p w14:paraId="0000001A" w14:textId="77777777" w:rsidR="00712B7C" w:rsidRDefault="00712B7C"/>
    <w:p w14:paraId="0000001B" w14:textId="77777777" w:rsidR="00712B7C" w:rsidRDefault="00000000">
      <w:pPr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Problémy jednotlivých přístupů</w:t>
      </w:r>
    </w:p>
    <w:p w14:paraId="0000001C" w14:textId="77777777" w:rsidR="00712B7C" w:rsidRDefault="00000000">
      <w:pPr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Obecné problémy </w:t>
      </w:r>
    </w:p>
    <w:p w14:paraId="0000001D" w14:textId="77777777" w:rsidR="00712B7C" w:rsidRDefault="00000000">
      <w:pPr>
        <w:numPr>
          <w:ilvl w:val="1"/>
          <w:numId w:val="9"/>
        </w:numPr>
      </w:pPr>
      <w:r>
        <w:t>Přehnaná očekávání EU</w:t>
      </w:r>
    </w:p>
    <w:p w14:paraId="0000001E" w14:textId="77777777" w:rsidR="00712B7C" w:rsidRDefault="00000000">
      <w:pPr>
        <w:numPr>
          <w:ilvl w:val="1"/>
          <w:numId w:val="9"/>
        </w:numPr>
      </w:pPr>
      <w:r>
        <w:t>Dominance tvrdé moci (</w:t>
      </w:r>
      <w:proofErr w:type="spellStart"/>
      <w:r>
        <w:t>security</w:t>
      </w:r>
      <w:proofErr w:type="spellEnd"/>
      <w:r>
        <w:t>, ekonomika)</w:t>
      </w:r>
    </w:p>
    <w:p w14:paraId="0000001F" w14:textId="77777777" w:rsidR="00712B7C" w:rsidRDefault="00712B7C"/>
    <w:p w14:paraId="00000020" w14:textId="77777777" w:rsidR="00712B7C" w:rsidRDefault="00000000">
      <w:pPr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Problémy kulturní </w:t>
      </w:r>
      <w:proofErr w:type="gramStart"/>
      <w:r>
        <w:rPr>
          <w:b/>
          <w:bCs/>
        </w:rPr>
        <w:t xml:space="preserve">diplomacie - </w:t>
      </w:r>
      <w:proofErr w:type="spellStart"/>
      <w:r>
        <w:rPr>
          <w:b/>
          <w:bCs/>
          <w:i/>
          <w:iCs/>
        </w:rPr>
        <w:t>Cultural</w:t>
      </w:r>
      <w:proofErr w:type="spellEnd"/>
      <w:proofErr w:type="gram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Diplomacy</w:t>
      </w:r>
      <w:proofErr w:type="spellEnd"/>
    </w:p>
    <w:p w14:paraId="00000021" w14:textId="77777777" w:rsidR="00712B7C" w:rsidRDefault="00000000">
      <w:pPr>
        <w:numPr>
          <w:ilvl w:val="1"/>
          <w:numId w:val="3"/>
        </w:numPr>
      </w:pPr>
      <w:r>
        <w:t xml:space="preserve">Soft </w:t>
      </w:r>
      <w:proofErr w:type="spellStart"/>
      <w:r>
        <w:t>power</w:t>
      </w:r>
      <w:proofErr w:type="spellEnd"/>
      <w:r>
        <w:t xml:space="preserve"> modelu ale → to ne vždy v takovém prostředí funguje </w:t>
      </w:r>
    </w:p>
    <w:p w14:paraId="00000022" w14:textId="77777777" w:rsidR="00712B7C" w:rsidRDefault="00000000">
      <w:pPr>
        <w:numPr>
          <w:ilvl w:val="1"/>
          <w:numId w:val="3"/>
        </w:numPr>
      </w:pPr>
      <w:r>
        <w:t>Strategická komunikace nebo nástroj prosazování zájmů EU</w:t>
      </w:r>
    </w:p>
    <w:p w14:paraId="00000023" w14:textId="77777777" w:rsidR="00712B7C" w:rsidRDefault="00712B7C"/>
    <w:p w14:paraId="00000024" w14:textId="77777777" w:rsidR="00712B7C" w:rsidRDefault="00000000">
      <w:pPr>
        <w:numPr>
          <w:ilvl w:val="0"/>
          <w:numId w:val="7"/>
        </w:numPr>
        <w:rPr>
          <w:b/>
          <w:bCs/>
        </w:rPr>
      </w:pPr>
      <w:r>
        <w:rPr>
          <w:b/>
          <w:bCs/>
        </w:rPr>
        <w:t xml:space="preserve">Problémy mezinárodních </w:t>
      </w:r>
      <w:proofErr w:type="gramStart"/>
      <w:r>
        <w:rPr>
          <w:b/>
          <w:bCs/>
        </w:rPr>
        <w:t xml:space="preserve">vztahů - </w:t>
      </w:r>
      <w:proofErr w:type="spellStart"/>
      <w:r>
        <w:rPr>
          <w:b/>
          <w:bCs/>
          <w:i/>
          <w:iCs/>
        </w:rPr>
        <w:t>Cultural</w:t>
      </w:r>
      <w:proofErr w:type="spellEnd"/>
      <w:proofErr w:type="gramEnd"/>
      <w:r>
        <w:rPr>
          <w:b/>
          <w:bCs/>
          <w:i/>
          <w:iCs/>
        </w:rPr>
        <w:t xml:space="preserve"> Relations</w:t>
      </w:r>
    </w:p>
    <w:p w14:paraId="00000025" w14:textId="77777777" w:rsidR="00712B7C" w:rsidRDefault="00000000">
      <w:pPr>
        <w:numPr>
          <w:ilvl w:val="1"/>
          <w:numId w:val="7"/>
        </w:numPr>
      </w:pPr>
      <w:r>
        <w:t>Vyžadují liberální a kooperativní prostředí, které slábne</w:t>
      </w:r>
    </w:p>
    <w:p w14:paraId="00000026" w14:textId="77777777" w:rsidR="00712B7C" w:rsidRDefault="00000000">
      <w:pPr>
        <w:numPr>
          <w:ilvl w:val="1"/>
          <w:numId w:val="7"/>
        </w:numPr>
      </w:pPr>
      <w:r>
        <w:rPr>
          <w:rFonts w:ascii="Arial Unicode MS" w:eastAsia="Arial Unicode MS" w:hAnsi="Arial Unicode MS" w:cs="Arial Unicode MS"/>
        </w:rPr>
        <w:lastRenderedPageBreak/>
        <w:t>Mají být nevládní a nezávislé → financují je státy/ EU</w:t>
      </w:r>
    </w:p>
    <w:p w14:paraId="00000027" w14:textId="77777777" w:rsidR="00712B7C" w:rsidRDefault="00712B7C"/>
    <w:p w14:paraId="00000028" w14:textId="77777777" w:rsidR="00712B7C" w:rsidRDefault="00000000">
      <w:pPr>
        <w:pStyle w:val="Nadpis2"/>
        <w:keepNext w:val="0"/>
        <w:keepLines w:val="0"/>
        <w:numPr>
          <w:ilvl w:val="0"/>
          <w:numId w:val="2"/>
        </w:numPr>
        <w:spacing w:after="0" w:line="360" w:lineRule="auto"/>
        <w:rPr>
          <w:b/>
          <w:bCs/>
          <w:sz w:val="24"/>
          <w:szCs w:val="24"/>
        </w:rPr>
      </w:pPr>
      <w:bookmarkStart w:id="4" w:name="_wpvotfpgj8al" w:colFirst="0" w:colLast="0"/>
      <w:bookmarkEnd w:id="4"/>
      <w:r>
        <w:rPr>
          <w:b/>
          <w:bCs/>
          <w:sz w:val="24"/>
          <w:szCs w:val="24"/>
        </w:rPr>
        <w:t>Vliv změn ve vedení EU</w:t>
      </w:r>
    </w:p>
    <w:p w14:paraId="00000029" w14:textId="77777777" w:rsidR="00712B7C" w:rsidRDefault="00000000">
      <w:pPr>
        <w:numPr>
          <w:ilvl w:val="0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rozdíl mezi:</w:t>
      </w:r>
    </w:p>
    <w:p w14:paraId="0000002A" w14:textId="77777777" w:rsidR="00712B7C" w:rsidRDefault="00000000">
      <w:pPr>
        <w:numPr>
          <w:ilvl w:val="1"/>
          <w:numId w:val="8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Federica </w:t>
      </w:r>
      <w:proofErr w:type="spellStart"/>
      <w:r>
        <w:rPr>
          <w:sz w:val="24"/>
          <w:szCs w:val="24"/>
        </w:rPr>
        <w:t>Mogherini</w:t>
      </w:r>
      <w:proofErr w:type="spellEnd"/>
      <w:r>
        <w:rPr>
          <w:sz w:val="24"/>
          <w:szCs w:val="24"/>
        </w:rPr>
        <w:t xml:space="preserve"> → důraz na ICR</w:t>
      </w:r>
    </w:p>
    <w:p w14:paraId="0000002B" w14:textId="77777777" w:rsidR="00712B7C" w:rsidRDefault="00000000">
      <w:pPr>
        <w:numPr>
          <w:ilvl w:val="1"/>
          <w:numId w:val="8"/>
        </w:numPr>
        <w:spacing w:after="24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Josep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Borrell</w:t>
      </w:r>
      <w:proofErr w:type="spellEnd"/>
      <w:r>
        <w:rPr>
          <w:sz w:val="24"/>
          <w:szCs w:val="24"/>
        </w:rPr>
        <w:t xml:space="preserve"> → důraz na geopolitiku</w:t>
      </w:r>
    </w:p>
    <w:p w14:paraId="0000002C" w14:textId="77777777" w:rsidR="00712B7C" w:rsidRDefault="00712B7C">
      <w:pPr>
        <w:spacing w:line="360" w:lineRule="auto"/>
        <w:rPr>
          <w:sz w:val="24"/>
          <w:szCs w:val="24"/>
        </w:rPr>
      </w:pPr>
    </w:p>
    <w:p w14:paraId="0000002D" w14:textId="77777777" w:rsidR="00712B7C" w:rsidRDefault="00000000">
      <w:pPr>
        <w:numPr>
          <w:ilvl w:val="0"/>
          <w:numId w:val="2"/>
        </w:num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Závěr</w:t>
      </w:r>
    </w:p>
    <w:p w14:paraId="0000002E" w14:textId="77777777" w:rsidR="00712B7C" w:rsidRDefault="00000000">
      <w:pPr>
        <w:numPr>
          <w:ilvl w:val="0"/>
          <w:numId w:val="1"/>
        </w:numPr>
        <w:spacing w:line="360" w:lineRule="auto"/>
        <w:jc w:val="both"/>
      </w:pPr>
      <w:r>
        <w:t>Po roce 2014 došlo k rozvoji kulturní politiky EU, zejména díky strategii ICR z roku 2016</w:t>
      </w:r>
    </w:p>
    <w:p w14:paraId="0000002F" w14:textId="77777777" w:rsidR="00712B7C" w:rsidRDefault="00000000">
      <w:pPr>
        <w:numPr>
          <w:ilvl w:val="0"/>
          <w:numId w:val="1"/>
        </w:numPr>
        <w:spacing w:line="360" w:lineRule="auto"/>
        <w:jc w:val="both"/>
      </w:pPr>
      <w:r>
        <w:t>Kultura ale zůstává hlavně v kompetenci členských států → EU má jen podpůrnou roli</w:t>
      </w:r>
    </w:p>
    <w:p w14:paraId="00000030" w14:textId="77777777" w:rsidR="00712B7C" w:rsidRDefault="00000000">
      <w:pPr>
        <w:numPr>
          <w:ilvl w:val="0"/>
          <w:numId w:val="1"/>
        </w:numPr>
        <w:spacing w:line="360" w:lineRule="auto"/>
        <w:jc w:val="both"/>
      </w:pPr>
      <w:r>
        <w:t xml:space="preserve">Problémy: roztříštěné financování a složitá koordinace (EU, státy, </w:t>
      </w:r>
      <w:proofErr w:type="spellStart"/>
      <w:r>
        <w:t>European</w:t>
      </w:r>
      <w:proofErr w:type="spellEnd"/>
      <w:r>
        <w:t xml:space="preserve"> Union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Institutes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Culture</w:t>
      </w:r>
      <w:proofErr w:type="spellEnd"/>
      <w:r>
        <w:t>)</w:t>
      </w:r>
    </w:p>
    <w:p w14:paraId="00000031" w14:textId="77777777" w:rsidR="00712B7C" w:rsidRDefault="00000000">
      <w:pPr>
        <w:numPr>
          <w:ilvl w:val="0"/>
          <w:numId w:val="1"/>
        </w:numPr>
        <w:spacing w:line="360" w:lineRule="auto"/>
        <w:jc w:val="both"/>
      </w:pPr>
      <w:r>
        <w:t>Současný svět omezuje dialogický přístup ICR → posiluje kulturní diplomacii</w:t>
      </w:r>
    </w:p>
    <w:p w14:paraId="00000032" w14:textId="77777777" w:rsidR="00712B7C" w:rsidRDefault="00000000">
      <w:pPr>
        <w:numPr>
          <w:ilvl w:val="0"/>
          <w:numId w:val="1"/>
        </w:numPr>
        <w:spacing w:line="360" w:lineRule="auto"/>
        <w:jc w:val="both"/>
      </w:pPr>
      <w:r>
        <w:t>EU řeší, jak sladit své hodnoty s mocenskou politikou a udržet kulturu jako nástroj zahraniční politiky</w:t>
      </w:r>
    </w:p>
    <w:p w14:paraId="00000033" w14:textId="77777777" w:rsidR="00712B7C" w:rsidRDefault="00712B7C">
      <w:pPr>
        <w:jc w:val="both"/>
        <w:rPr>
          <w:sz w:val="24"/>
          <w:szCs w:val="24"/>
        </w:rPr>
      </w:pPr>
    </w:p>
    <w:p w14:paraId="00000034" w14:textId="77777777" w:rsidR="00712B7C" w:rsidRDefault="00712B7C">
      <w:pPr>
        <w:ind w:left="720"/>
        <w:rPr>
          <w:sz w:val="24"/>
          <w:szCs w:val="24"/>
        </w:rPr>
      </w:pPr>
    </w:p>
    <w:p w14:paraId="00000035" w14:textId="77777777" w:rsidR="00712B7C" w:rsidRDefault="00000000">
      <w:pPr>
        <w:numPr>
          <w:ilvl w:val="0"/>
          <w:numId w:val="2"/>
        </w:num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Zdroje: </w:t>
      </w:r>
    </w:p>
    <w:p w14:paraId="00000036" w14:textId="77777777" w:rsidR="00712B7C" w:rsidRDefault="00000000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Culture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Europe</w:t>
      </w:r>
      <w:proofErr w:type="spellEnd"/>
      <w:r>
        <w:rPr>
          <w:sz w:val="24"/>
          <w:szCs w:val="24"/>
        </w:rPr>
        <w:t xml:space="preserve"> (2025) </w:t>
      </w:r>
      <w:r>
        <w:rPr>
          <w:i/>
          <w:iCs/>
          <w:sz w:val="24"/>
          <w:szCs w:val="24"/>
        </w:rPr>
        <w:t xml:space="preserve">International </w:t>
      </w:r>
      <w:proofErr w:type="spellStart"/>
      <w:r>
        <w:rPr>
          <w:i/>
          <w:iCs/>
          <w:sz w:val="24"/>
          <w:szCs w:val="24"/>
        </w:rPr>
        <w:t>cultural</w:t>
      </w:r>
      <w:proofErr w:type="spellEnd"/>
      <w:r>
        <w:rPr>
          <w:i/>
          <w:iCs/>
          <w:sz w:val="24"/>
          <w:szCs w:val="24"/>
        </w:rPr>
        <w:t xml:space="preserve"> relations: </w:t>
      </w:r>
      <w:proofErr w:type="spellStart"/>
      <w:r>
        <w:rPr>
          <w:i/>
          <w:iCs/>
          <w:sz w:val="24"/>
          <w:szCs w:val="24"/>
        </w:rPr>
        <w:t>Towards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the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Culture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Compass</w:t>
      </w:r>
      <w:proofErr w:type="spellEnd"/>
      <w:r>
        <w:rPr>
          <w:i/>
          <w:iCs/>
          <w:sz w:val="24"/>
          <w:szCs w:val="24"/>
        </w:rPr>
        <w:t xml:space="preserve"> – a </w:t>
      </w:r>
      <w:proofErr w:type="spellStart"/>
      <w:r>
        <w:rPr>
          <w:i/>
          <w:iCs/>
          <w:sz w:val="24"/>
          <w:szCs w:val="24"/>
        </w:rPr>
        <w:t>sector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blueprint</w:t>
      </w:r>
      <w:proofErr w:type="spellEnd"/>
      <w:r>
        <w:rPr>
          <w:sz w:val="24"/>
          <w:szCs w:val="24"/>
        </w:rPr>
        <w:t xml:space="preserve">. Dostupné z: </w:t>
      </w:r>
      <w:hyperlink r:id="rId7">
        <w:r>
          <w:rPr>
            <w:color w:val="1155CC"/>
            <w:sz w:val="24"/>
            <w:szCs w:val="24"/>
            <w:u w:val="single"/>
          </w:rPr>
          <w:t>https://cultureactioneurope.org/advocacy/international-cultural-relations-towards-the-culture-compass-a-sector-blueprint</w:t>
        </w:r>
      </w:hyperlink>
      <w:r>
        <w:rPr>
          <w:sz w:val="24"/>
          <w:szCs w:val="24"/>
        </w:rPr>
        <w:t>/</w:t>
      </w:r>
    </w:p>
    <w:p w14:paraId="00000037" w14:textId="77777777" w:rsidR="00712B7C" w:rsidRDefault="00712B7C">
      <w:pPr>
        <w:spacing w:line="360" w:lineRule="auto"/>
        <w:rPr>
          <w:sz w:val="24"/>
          <w:szCs w:val="24"/>
        </w:rPr>
      </w:pPr>
    </w:p>
    <w:p w14:paraId="00000038" w14:textId="77777777" w:rsidR="00712B7C" w:rsidRDefault="0000000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EEAS (2021) </w:t>
      </w:r>
      <w:r>
        <w:rPr>
          <w:i/>
          <w:iCs/>
          <w:sz w:val="24"/>
          <w:szCs w:val="24"/>
        </w:rPr>
        <w:t xml:space="preserve">EU </w:t>
      </w:r>
      <w:proofErr w:type="spellStart"/>
      <w:r>
        <w:rPr>
          <w:i/>
          <w:iCs/>
          <w:sz w:val="24"/>
          <w:szCs w:val="24"/>
        </w:rPr>
        <w:t>Foreign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Policy</w:t>
      </w:r>
      <w:proofErr w:type="spellEnd"/>
      <w:r>
        <w:rPr>
          <w:i/>
          <w:iCs/>
          <w:sz w:val="24"/>
          <w:szCs w:val="24"/>
        </w:rPr>
        <w:t xml:space="preserve"> and </w:t>
      </w:r>
      <w:proofErr w:type="spellStart"/>
      <w:r>
        <w:rPr>
          <w:i/>
          <w:iCs/>
          <w:sz w:val="24"/>
          <w:szCs w:val="24"/>
        </w:rPr>
        <w:t>Cultural</w:t>
      </w:r>
      <w:proofErr w:type="spellEnd"/>
      <w:r>
        <w:rPr>
          <w:i/>
          <w:iCs/>
          <w:sz w:val="24"/>
          <w:szCs w:val="24"/>
        </w:rPr>
        <w:t xml:space="preserve"> Relations in Times </w:t>
      </w:r>
      <w:proofErr w:type="spellStart"/>
      <w:r>
        <w:rPr>
          <w:i/>
          <w:iCs/>
          <w:sz w:val="24"/>
          <w:szCs w:val="24"/>
        </w:rPr>
        <w:t>of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Crisis</w:t>
      </w:r>
      <w:proofErr w:type="spellEnd"/>
      <w:r>
        <w:rPr>
          <w:sz w:val="24"/>
          <w:szCs w:val="24"/>
        </w:rPr>
        <w:t xml:space="preserve">. YouTube video, publikováno dne [2.6. 2017. Dostupné z: </w:t>
      </w:r>
      <w:hyperlink r:id="rId8">
        <w:r>
          <w:rPr>
            <w:color w:val="1155CC"/>
            <w:sz w:val="24"/>
            <w:szCs w:val="24"/>
            <w:u w:val="single"/>
          </w:rPr>
          <w:t>https://www.youtube.com/watch?v=OQxgW_KbD_k</w:t>
        </w:r>
      </w:hyperlink>
      <w:r>
        <w:rPr>
          <w:sz w:val="24"/>
          <w:szCs w:val="24"/>
        </w:rPr>
        <w:t xml:space="preserve"> </w:t>
      </w:r>
    </w:p>
    <w:p w14:paraId="00000039" w14:textId="77777777" w:rsidR="00712B7C" w:rsidRDefault="00712B7C">
      <w:pPr>
        <w:spacing w:line="360" w:lineRule="auto"/>
        <w:rPr>
          <w:b/>
          <w:bCs/>
          <w:sz w:val="24"/>
          <w:szCs w:val="24"/>
        </w:rPr>
      </w:pPr>
    </w:p>
    <w:p w14:paraId="0000003A" w14:textId="77777777" w:rsidR="00712B7C" w:rsidRDefault="00000000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Higgott</w:t>
      </w:r>
      <w:proofErr w:type="spellEnd"/>
      <w:r>
        <w:rPr>
          <w:sz w:val="24"/>
          <w:szCs w:val="24"/>
        </w:rPr>
        <w:t xml:space="preserve">, R. a </w:t>
      </w:r>
      <w:proofErr w:type="spellStart"/>
      <w:r>
        <w:rPr>
          <w:sz w:val="24"/>
          <w:szCs w:val="24"/>
        </w:rPr>
        <w:t>Lamonica</w:t>
      </w:r>
      <w:proofErr w:type="spellEnd"/>
      <w:r>
        <w:rPr>
          <w:sz w:val="24"/>
          <w:szCs w:val="24"/>
        </w:rPr>
        <w:t xml:space="preserve">, A. G. (2021) </w:t>
      </w:r>
      <w:r>
        <w:rPr>
          <w:i/>
          <w:iCs/>
          <w:sz w:val="24"/>
          <w:szCs w:val="24"/>
        </w:rPr>
        <w:t>‘</w:t>
      </w:r>
      <w:proofErr w:type="spellStart"/>
      <w:r>
        <w:rPr>
          <w:i/>
          <w:iCs/>
          <w:sz w:val="24"/>
          <w:szCs w:val="24"/>
        </w:rPr>
        <w:t>The</w:t>
      </w:r>
      <w:proofErr w:type="spellEnd"/>
      <w:r>
        <w:rPr>
          <w:i/>
          <w:iCs/>
          <w:sz w:val="24"/>
          <w:szCs w:val="24"/>
        </w:rPr>
        <w:t xml:space="preserve"> role </w:t>
      </w:r>
      <w:proofErr w:type="spellStart"/>
      <w:r>
        <w:rPr>
          <w:i/>
          <w:iCs/>
          <w:sz w:val="24"/>
          <w:szCs w:val="24"/>
        </w:rPr>
        <w:t>of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culture</w:t>
      </w:r>
      <w:proofErr w:type="spellEnd"/>
      <w:r>
        <w:rPr>
          <w:i/>
          <w:iCs/>
          <w:sz w:val="24"/>
          <w:szCs w:val="24"/>
        </w:rPr>
        <w:t xml:space="preserve"> in EU </w:t>
      </w:r>
      <w:proofErr w:type="spellStart"/>
      <w:r>
        <w:rPr>
          <w:i/>
          <w:iCs/>
          <w:sz w:val="24"/>
          <w:szCs w:val="24"/>
        </w:rPr>
        <w:t>foreign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policy</w:t>
      </w:r>
      <w:proofErr w:type="spellEnd"/>
      <w:r>
        <w:rPr>
          <w:i/>
          <w:iCs/>
          <w:sz w:val="24"/>
          <w:szCs w:val="24"/>
        </w:rPr>
        <w:t xml:space="preserve">: </w:t>
      </w:r>
      <w:proofErr w:type="spellStart"/>
      <w:r>
        <w:rPr>
          <w:i/>
          <w:iCs/>
          <w:sz w:val="24"/>
          <w:szCs w:val="24"/>
        </w:rPr>
        <w:t>Between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international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cultural</w:t>
      </w:r>
      <w:proofErr w:type="spellEnd"/>
      <w:r>
        <w:rPr>
          <w:i/>
          <w:iCs/>
          <w:sz w:val="24"/>
          <w:szCs w:val="24"/>
        </w:rPr>
        <w:t xml:space="preserve"> relations and </w:t>
      </w:r>
      <w:proofErr w:type="spellStart"/>
      <w:r>
        <w:rPr>
          <w:i/>
          <w:iCs/>
          <w:sz w:val="24"/>
          <w:szCs w:val="24"/>
        </w:rPr>
        <w:t>cultural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diplomacy</w:t>
      </w:r>
      <w:proofErr w:type="spellEnd"/>
      <w:r>
        <w:rPr>
          <w:i/>
          <w:iCs/>
          <w:sz w:val="24"/>
          <w:szCs w:val="24"/>
        </w:rPr>
        <w:t>’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Økonomi</w:t>
      </w:r>
      <w:proofErr w:type="spellEnd"/>
      <w:r>
        <w:rPr>
          <w:sz w:val="24"/>
          <w:szCs w:val="24"/>
        </w:rPr>
        <w:t xml:space="preserve"> &amp; Politik, 4, s. 102–115.</w:t>
      </w:r>
    </w:p>
    <w:p w14:paraId="0000003B" w14:textId="77777777" w:rsidR="00712B7C" w:rsidRDefault="00712B7C">
      <w:pPr>
        <w:spacing w:line="360" w:lineRule="auto"/>
        <w:rPr>
          <w:sz w:val="24"/>
          <w:szCs w:val="24"/>
        </w:rPr>
      </w:pPr>
    </w:p>
    <w:p w14:paraId="0000003C" w14:textId="77777777" w:rsidR="00712B7C" w:rsidRDefault="00000000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Acharya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Amitav</w:t>
      </w:r>
      <w:proofErr w:type="spellEnd"/>
      <w:r>
        <w:rPr>
          <w:sz w:val="24"/>
          <w:szCs w:val="24"/>
        </w:rPr>
        <w:t>. “</w:t>
      </w:r>
      <w:proofErr w:type="spellStart"/>
      <w:r>
        <w:rPr>
          <w:sz w:val="24"/>
          <w:szCs w:val="24"/>
        </w:rPr>
        <w:t>After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Liberal</w:t>
      </w:r>
      <w:proofErr w:type="spellEnd"/>
      <w:r>
        <w:rPr>
          <w:sz w:val="24"/>
          <w:szCs w:val="24"/>
        </w:rPr>
        <w:t xml:space="preserve"> Hegemony: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Advent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a Multiplex </w:t>
      </w:r>
      <w:proofErr w:type="spellStart"/>
      <w:r>
        <w:rPr>
          <w:sz w:val="24"/>
          <w:szCs w:val="24"/>
        </w:rPr>
        <w:t>World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Order</w:t>
      </w:r>
      <w:proofErr w:type="spellEnd"/>
      <w:r>
        <w:rPr>
          <w:sz w:val="24"/>
          <w:szCs w:val="24"/>
        </w:rPr>
        <w:t xml:space="preserve">.” </w:t>
      </w:r>
      <w:proofErr w:type="spellStart"/>
      <w:r>
        <w:rPr>
          <w:sz w:val="24"/>
          <w:szCs w:val="24"/>
        </w:rPr>
        <w:t>Ethics</w:t>
      </w:r>
      <w:proofErr w:type="spellEnd"/>
      <w:r>
        <w:rPr>
          <w:sz w:val="24"/>
          <w:szCs w:val="24"/>
        </w:rPr>
        <w:t xml:space="preserve"> &amp; International </w:t>
      </w:r>
      <w:proofErr w:type="spellStart"/>
      <w:r>
        <w:rPr>
          <w:sz w:val="24"/>
          <w:szCs w:val="24"/>
        </w:rPr>
        <w:t>Affairs</w:t>
      </w:r>
      <w:proofErr w:type="spellEnd"/>
      <w:r>
        <w:rPr>
          <w:sz w:val="24"/>
          <w:szCs w:val="24"/>
        </w:rPr>
        <w:t xml:space="preserve"> 31, no. 3 (2017): 271–85. </w:t>
      </w:r>
      <w:hyperlink r:id="rId9">
        <w:r>
          <w:rPr>
            <w:color w:val="1155CC"/>
            <w:sz w:val="24"/>
            <w:szCs w:val="24"/>
            <w:u w:val="single"/>
          </w:rPr>
          <w:t>https://doi-org.ezproxy.is.cuni.cz/10.1017/S089267941700020X</w:t>
        </w:r>
      </w:hyperlink>
      <w:r>
        <w:rPr>
          <w:sz w:val="24"/>
          <w:szCs w:val="24"/>
        </w:rPr>
        <w:t>.</w:t>
      </w:r>
    </w:p>
    <w:p w14:paraId="0000003D" w14:textId="77777777" w:rsidR="00712B7C" w:rsidRDefault="00712B7C">
      <w:pPr>
        <w:spacing w:line="360" w:lineRule="auto"/>
        <w:rPr>
          <w:sz w:val="24"/>
          <w:szCs w:val="24"/>
        </w:rPr>
      </w:pPr>
    </w:p>
    <w:p w14:paraId="0000003E" w14:textId="77777777" w:rsidR="00712B7C" w:rsidRDefault="00000000">
      <w:pPr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Dâmaso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Mafalda</w:t>
      </w:r>
      <w:proofErr w:type="spellEnd"/>
      <w:r>
        <w:rPr>
          <w:sz w:val="24"/>
          <w:szCs w:val="24"/>
        </w:rPr>
        <w:t>, “</w:t>
      </w:r>
      <w:proofErr w:type="spellStart"/>
      <w:r>
        <w:rPr>
          <w:sz w:val="24"/>
          <w:szCs w:val="24"/>
        </w:rPr>
        <w:t>Implementing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EU </w:t>
      </w:r>
      <w:proofErr w:type="spellStart"/>
      <w:r>
        <w:rPr>
          <w:sz w:val="24"/>
          <w:szCs w:val="24"/>
        </w:rPr>
        <w:t>Strategy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</w:t>
      </w:r>
      <w:proofErr w:type="spellEnd"/>
      <w:r>
        <w:rPr>
          <w:sz w:val="24"/>
          <w:szCs w:val="24"/>
        </w:rPr>
        <w:t xml:space="preserve"> International </w:t>
      </w:r>
      <w:proofErr w:type="spellStart"/>
      <w:r>
        <w:rPr>
          <w:sz w:val="24"/>
          <w:szCs w:val="24"/>
        </w:rPr>
        <w:t>Cultural</w:t>
      </w:r>
      <w:proofErr w:type="spellEnd"/>
      <w:r>
        <w:rPr>
          <w:sz w:val="24"/>
          <w:szCs w:val="24"/>
        </w:rPr>
        <w:t xml:space="preserve"> Relations – </w:t>
      </w:r>
      <w:proofErr w:type="spellStart"/>
      <w:r>
        <w:rPr>
          <w:sz w:val="24"/>
          <w:szCs w:val="24"/>
        </w:rPr>
        <w:t>Towards</w:t>
      </w:r>
      <w:proofErr w:type="spellEnd"/>
      <w:r>
        <w:rPr>
          <w:sz w:val="24"/>
          <w:szCs w:val="24"/>
        </w:rPr>
        <w:t xml:space="preserve"> a New </w:t>
      </w:r>
      <w:proofErr w:type="spellStart"/>
      <w:r>
        <w:rPr>
          <w:sz w:val="24"/>
          <w:szCs w:val="24"/>
        </w:rPr>
        <w:t>Paradigm</w:t>
      </w:r>
      <w:proofErr w:type="spellEnd"/>
      <w:r>
        <w:rPr>
          <w:sz w:val="24"/>
          <w:szCs w:val="24"/>
        </w:rPr>
        <w:t xml:space="preserve">”, Center on Public </w:t>
      </w:r>
      <w:proofErr w:type="spellStart"/>
      <w:r>
        <w:rPr>
          <w:sz w:val="24"/>
          <w:szCs w:val="24"/>
        </w:rPr>
        <w:t>Diplomacy</w:t>
      </w:r>
      <w:proofErr w:type="spellEnd"/>
      <w:r>
        <w:rPr>
          <w:sz w:val="24"/>
          <w:szCs w:val="24"/>
        </w:rPr>
        <w:t xml:space="preserve">, Los Angeles, </w:t>
      </w:r>
      <w:proofErr w:type="spellStart"/>
      <w:r>
        <w:rPr>
          <w:sz w:val="24"/>
          <w:szCs w:val="24"/>
        </w:rPr>
        <w:t>California</w:t>
      </w:r>
      <w:proofErr w:type="spellEnd"/>
      <w:r>
        <w:rPr>
          <w:sz w:val="24"/>
          <w:szCs w:val="24"/>
        </w:rPr>
        <w:t xml:space="preserve">: University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Southern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California</w:t>
      </w:r>
      <w:proofErr w:type="spellEnd"/>
      <w:r>
        <w:rPr>
          <w:sz w:val="24"/>
          <w:szCs w:val="24"/>
        </w:rPr>
        <w:t>.</w:t>
      </w:r>
    </w:p>
    <w:p w14:paraId="0000003F" w14:textId="77777777" w:rsidR="00712B7C" w:rsidRDefault="00712B7C">
      <w:pPr>
        <w:spacing w:line="360" w:lineRule="auto"/>
        <w:rPr>
          <w:sz w:val="24"/>
          <w:szCs w:val="24"/>
        </w:rPr>
      </w:pPr>
    </w:p>
    <w:p w14:paraId="00000040" w14:textId="77777777" w:rsidR="00712B7C" w:rsidRDefault="00712B7C">
      <w:pPr>
        <w:spacing w:line="360" w:lineRule="auto"/>
        <w:rPr>
          <w:sz w:val="24"/>
          <w:szCs w:val="24"/>
        </w:rPr>
      </w:pPr>
    </w:p>
    <w:sectPr w:rsidR="00712B7C">
      <w:headerReference w:type="default" r:id="rId10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90EEB" w14:textId="77777777" w:rsidR="003E4977" w:rsidRDefault="003E4977">
      <w:pPr>
        <w:spacing w:line="240" w:lineRule="auto"/>
      </w:pPr>
      <w:r>
        <w:separator/>
      </w:r>
    </w:p>
  </w:endnote>
  <w:endnote w:type="continuationSeparator" w:id="0">
    <w:p w14:paraId="72610DF7" w14:textId="77777777" w:rsidR="003E4977" w:rsidRDefault="003E49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E376F64-5336-4C1A-96AC-498B6CBAC36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2A698A1D-72E8-498A-911E-E4300AEF2C5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E51D5" w14:textId="77777777" w:rsidR="003E4977" w:rsidRDefault="003E4977">
      <w:pPr>
        <w:spacing w:line="240" w:lineRule="auto"/>
      </w:pPr>
      <w:r>
        <w:separator/>
      </w:r>
    </w:p>
  </w:footnote>
  <w:footnote w:type="continuationSeparator" w:id="0">
    <w:p w14:paraId="1E87CDCD" w14:textId="77777777" w:rsidR="003E4977" w:rsidRDefault="003E49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1" w14:textId="77777777" w:rsidR="00712B7C" w:rsidRDefault="00000000">
    <w:r>
      <w:t>Lea Výborová, Tereza Prokopová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B50EE"/>
    <w:multiLevelType w:val="multilevel"/>
    <w:tmpl w:val="1062D89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5F45F5A"/>
    <w:multiLevelType w:val="multilevel"/>
    <w:tmpl w:val="7304BEC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0022713"/>
    <w:multiLevelType w:val="multilevel"/>
    <w:tmpl w:val="6F1E51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80C7416"/>
    <w:multiLevelType w:val="multilevel"/>
    <w:tmpl w:val="5F28E1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7563EF6"/>
    <w:multiLevelType w:val="multilevel"/>
    <w:tmpl w:val="625E260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639A5722"/>
    <w:multiLevelType w:val="multilevel"/>
    <w:tmpl w:val="F4108B1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6F8221D9"/>
    <w:multiLevelType w:val="multilevel"/>
    <w:tmpl w:val="7336714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783E2AB6"/>
    <w:multiLevelType w:val="multilevel"/>
    <w:tmpl w:val="82AA23C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7B5E12B0"/>
    <w:multiLevelType w:val="multilevel"/>
    <w:tmpl w:val="280CAC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20496452">
    <w:abstractNumId w:val="8"/>
  </w:num>
  <w:num w:numId="2" w16cid:durableId="1954050695">
    <w:abstractNumId w:val="3"/>
  </w:num>
  <w:num w:numId="3" w16cid:durableId="824787087">
    <w:abstractNumId w:val="0"/>
  </w:num>
  <w:num w:numId="4" w16cid:durableId="860320288">
    <w:abstractNumId w:val="6"/>
  </w:num>
  <w:num w:numId="5" w16cid:durableId="2130707411">
    <w:abstractNumId w:val="7"/>
  </w:num>
  <w:num w:numId="6" w16cid:durableId="1134107024">
    <w:abstractNumId w:val="5"/>
  </w:num>
  <w:num w:numId="7" w16cid:durableId="1576210623">
    <w:abstractNumId w:val="4"/>
  </w:num>
  <w:num w:numId="8" w16cid:durableId="725295346">
    <w:abstractNumId w:val="2"/>
  </w:num>
  <w:num w:numId="9" w16cid:durableId="869225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B7C"/>
    <w:rsid w:val="003E4977"/>
    <w:rsid w:val="006C75E3"/>
    <w:rsid w:val="00712B7C"/>
    <w:rsid w:val="00C0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73CBA0-4E99-44C6-9BAF-F28414EA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QxgW_KbD_k&amp;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ultureactioneurope.org/advocacy/international-cultural-relations-towards-the-culture-compass-a-sector-blueprin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-org.ezproxy.is.cuni.cz/10.1017/S089267941700020X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</dc:creator>
  <cp:lastModifiedBy>Eliška</cp:lastModifiedBy>
  <cp:revision>2</cp:revision>
  <dcterms:created xsi:type="dcterms:W3CDTF">2026-04-22T07:03:00Z</dcterms:created>
  <dcterms:modified xsi:type="dcterms:W3CDTF">2026-04-22T07:03:00Z</dcterms:modified>
</cp:coreProperties>
</file>