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BDE6C" w14:textId="372E686A" w:rsidR="009410BA" w:rsidRDefault="00BE7FB3" w:rsidP="00BE7FB3">
      <w:pPr>
        <w:spacing w:line="360" w:lineRule="auto"/>
        <w:jc w:val="center"/>
        <w:rPr>
          <w:rFonts w:ascii="Times New Roman" w:hAnsi="Times New Roman" w:cs="Times New Roman"/>
          <w:b/>
          <w:bCs/>
          <w:sz w:val="36"/>
          <w:szCs w:val="36"/>
        </w:rPr>
      </w:pPr>
      <w:r w:rsidRPr="00BE7FB3">
        <w:rPr>
          <w:rFonts w:ascii="Times New Roman" w:hAnsi="Times New Roman" w:cs="Times New Roman"/>
          <w:b/>
          <w:bCs/>
          <w:sz w:val="36"/>
          <w:szCs w:val="36"/>
        </w:rPr>
        <w:t>Diváctví</w:t>
      </w:r>
    </w:p>
    <w:p w14:paraId="70850FE2" w14:textId="08F1AFEB" w:rsidR="00BE7FB3" w:rsidRDefault="00C0244A" w:rsidP="001A69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mé diplomové práci se zamýšlím věnovat </w:t>
      </w:r>
      <w:r w:rsidR="003E2348">
        <w:rPr>
          <w:rFonts w:ascii="Times New Roman" w:hAnsi="Times New Roman" w:cs="Times New Roman"/>
          <w:sz w:val="24"/>
          <w:szCs w:val="24"/>
        </w:rPr>
        <w:t>fenoménu</w:t>
      </w:r>
      <w:r>
        <w:rPr>
          <w:rFonts w:ascii="Times New Roman" w:hAnsi="Times New Roman" w:cs="Times New Roman"/>
          <w:sz w:val="24"/>
          <w:szCs w:val="24"/>
        </w:rPr>
        <w:t xml:space="preserve"> diváctví a diváckému zážitku. Pomocí metaanalýzy současných teorií a náhledů na publikum,</w:t>
      </w:r>
      <w:r w:rsidR="003E2348">
        <w:rPr>
          <w:rFonts w:ascii="Times New Roman" w:hAnsi="Times New Roman" w:cs="Times New Roman"/>
          <w:sz w:val="24"/>
          <w:szCs w:val="24"/>
        </w:rPr>
        <w:t xml:space="preserve"> jeho rol</w:t>
      </w:r>
      <w:r w:rsidR="00D306F9">
        <w:rPr>
          <w:rFonts w:ascii="Times New Roman" w:hAnsi="Times New Roman" w:cs="Times New Roman"/>
          <w:sz w:val="24"/>
          <w:szCs w:val="24"/>
        </w:rPr>
        <w:t>e</w:t>
      </w:r>
      <w:r w:rsidR="003E2348">
        <w:rPr>
          <w:rFonts w:ascii="Times New Roman" w:hAnsi="Times New Roman" w:cs="Times New Roman"/>
          <w:sz w:val="24"/>
          <w:szCs w:val="24"/>
        </w:rPr>
        <w:t xml:space="preserve"> v konstituování uměleckého zážitku</w:t>
      </w:r>
      <w:r>
        <w:rPr>
          <w:rFonts w:ascii="Times New Roman" w:hAnsi="Times New Roman" w:cs="Times New Roman"/>
          <w:sz w:val="24"/>
          <w:szCs w:val="24"/>
        </w:rPr>
        <w:t xml:space="preserve"> bych se chtěl pokusit koncipovat teorii vlastní, která by dokázala reflektovat jak specifika českého současného divadla, tak by přinášela potenciální nové rezoluce v možnosti dívání se na divadlo.</w:t>
      </w:r>
    </w:p>
    <w:p w14:paraId="1749017E" w14:textId="3F378902" w:rsidR="001A6950" w:rsidRDefault="001A6950" w:rsidP="001A6950">
      <w:pPr>
        <w:spacing w:line="360" w:lineRule="auto"/>
        <w:jc w:val="both"/>
        <w:rPr>
          <w:rFonts w:ascii="Times New Roman" w:hAnsi="Times New Roman" w:cs="Times New Roman"/>
          <w:sz w:val="24"/>
          <w:szCs w:val="24"/>
        </w:rPr>
      </w:pPr>
      <w:r>
        <w:rPr>
          <w:rFonts w:ascii="Times New Roman" w:hAnsi="Times New Roman" w:cs="Times New Roman"/>
          <w:sz w:val="24"/>
          <w:szCs w:val="24"/>
        </w:rPr>
        <w:t>Vycházel bych např. z takzvané „spectator theory“, která sice byla primárně vytvořená pro film, ovšem její potenciál se určitě může vztáhnout také na performativní umění.</w:t>
      </w:r>
      <w:r w:rsidR="00D306F9">
        <w:rPr>
          <w:rFonts w:ascii="Times New Roman" w:hAnsi="Times New Roman" w:cs="Times New Roman"/>
          <w:sz w:val="24"/>
          <w:szCs w:val="24"/>
        </w:rPr>
        <w:t xml:space="preserve"> Ovšem nabízí se také sáhnout po idejích starších, jako je například Bertold Brecht a jeho epické divadlo.</w:t>
      </w:r>
      <w:r w:rsidR="00E821D6">
        <w:rPr>
          <w:rFonts w:ascii="Times New Roman" w:hAnsi="Times New Roman" w:cs="Times New Roman"/>
          <w:sz w:val="24"/>
          <w:szCs w:val="24"/>
        </w:rPr>
        <w:t xml:space="preserve"> Chtěl bych se také pokusit reflektovat narušující vlivy diváctví, které přichází v dnešní době, jako je zhoršený „attention span“ a samozřejmě také umělá inteligence, jejíž vliv se nedá podcenit na již prakticky žádn</w:t>
      </w:r>
      <w:r w:rsidR="00D9687F">
        <w:rPr>
          <w:rFonts w:ascii="Times New Roman" w:hAnsi="Times New Roman" w:cs="Times New Roman"/>
          <w:sz w:val="24"/>
          <w:szCs w:val="24"/>
        </w:rPr>
        <w:t>ý</w:t>
      </w:r>
      <w:r w:rsidR="00E821D6">
        <w:rPr>
          <w:rFonts w:ascii="Times New Roman" w:hAnsi="Times New Roman" w:cs="Times New Roman"/>
          <w:sz w:val="24"/>
          <w:szCs w:val="24"/>
        </w:rPr>
        <w:t xml:space="preserve"> </w:t>
      </w:r>
      <w:r w:rsidR="00D9687F">
        <w:rPr>
          <w:rFonts w:ascii="Times New Roman" w:hAnsi="Times New Roman" w:cs="Times New Roman"/>
          <w:sz w:val="24"/>
          <w:szCs w:val="24"/>
        </w:rPr>
        <w:t xml:space="preserve">aspekt </w:t>
      </w:r>
      <w:r w:rsidR="00E821D6">
        <w:rPr>
          <w:rFonts w:ascii="Times New Roman" w:hAnsi="Times New Roman" w:cs="Times New Roman"/>
          <w:sz w:val="24"/>
          <w:szCs w:val="24"/>
        </w:rPr>
        <w:t>lidské existence.</w:t>
      </w:r>
    </w:p>
    <w:p w14:paraId="6F77C583" w14:textId="4CC3D5DD" w:rsidR="00AF1112" w:rsidRDefault="00AF1112" w:rsidP="001A6950">
      <w:pPr>
        <w:spacing w:line="360" w:lineRule="auto"/>
        <w:jc w:val="both"/>
        <w:rPr>
          <w:rFonts w:ascii="Times New Roman" w:hAnsi="Times New Roman" w:cs="Times New Roman"/>
          <w:sz w:val="24"/>
          <w:szCs w:val="24"/>
        </w:rPr>
      </w:pPr>
      <w:r>
        <w:rPr>
          <w:rFonts w:ascii="Times New Roman" w:hAnsi="Times New Roman" w:cs="Times New Roman"/>
          <w:sz w:val="24"/>
          <w:szCs w:val="24"/>
        </w:rPr>
        <w:t>Samozřejmě se také nabízí zakomponování imerzivního divadla, popřípadě divadla se zvýšenou prací s publikem, jelikož se jedná o zážitky, kde se diváctví tematizuje jako takové, je akcentováno a může tedy nabídnout vhodné poznatky pro mou práci.</w:t>
      </w:r>
    </w:p>
    <w:p w14:paraId="142D4011" w14:textId="307843CB" w:rsidR="00A8121E" w:rsidRDefault="00A8121E" w:rsidP="001A69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Dle úvodního výzkumu je také v předběžném plánu </w:t>
      </w:r>
      <w:r w:rsidR="00A06AEC">
        <w:rPr>
          <w:rFonts w:ascii="Times New Roman" w:hAnsi="Times New Roman" w:cs="Times New Roman"/>
          <w:sz w:val="24"/>
          <w:szCs w:val="24"/>
        </w:rPr>
        <w:t>teorii diváctví rozpracovat pomocí fenomenologické analýzy divadelního zážitku, jako ho můžeme znát od Eriky Fischer-Lichte</w:t>
      </w:r>
      <w:r w:rsidR="00A2393D">
        <w:rPr>
          <w:rFonts w:ascii="Times New Roman" w:hAnsi="Times New Roman" w:cs="Times New Roman"/>
          <w:sz w:val="24"/>
          <w:szCs w:val="24"/>
        </w:rPr>
        <w:t xml:space="preserve"> </w:t>
      </w:r>
      <w:r w:rsidR="00A06AEC">
        <w:rPr>
          <w:rFonts w:ascii="Times New Roman" w:hAnsi="Times New Roman" w:cs="Times New Roman"/>
          <w:sz w:val="24"/>
          <w:szCs w:val="24"/>
        </w:rPr>
        <w:t>nebo více vzdáleně od Martina Heideggera.</w:t>
      </w:r>
    </w:p>
    <w:p w14:paraId="3FED1D7B" w14:textId="5F373F77" w:rsidR="00704C45" w:rsidRDefault="00704C45" w:rsidP="001A6950">
      <w:pPr>
        <w:spacing w:line="360" w:lineRule="auto"/>
        <w:jc w:val="both"/>
        <w:rPr>
          <w:rFonts w:ascii="Times New Roman" w:hAnsi="Times New Roman" w:cs="Times New Roman"/>
          <w:sz w:val="24"/>
          <w:szCs w:val="24"/>
        </w:rPr>
      </w:pPr>
      <w:r>
        <w:rPr>
          <w:rFonts w:ascii="Times New Roman" w:hAnsi="Times New Roman" w:cs="Times New Roman"/>
          <w:sz w:val="24"/>
          <w:szCs w:val="24"/>
        </w:rPr>
        <w:t>Jak bylo zmíněno, mé téma nabízí velmi široký okruh zájmu, především se ale pokusím reflektovat různé současné (i historické) přístupy, jednotlivé teorie diváctví, jak byly koncipovány především pro film. Stejně bych se chtěl pokusit o vztažení těchto poznatků na české současné divadlo a na náš vlastní divadelní aparát.</w:t>
      </w:r>
    </w:p>
    <w:p w14:paraId="526B552E" w14:textId="77777777" w:rsidR="00A8121E" w:rsidRDefault="00A8121E" w:rsidP="001A6950">
      <w:pPr>
        <w:spacing w:line="360" w:lineRule="auto"/>
        <w:jc w:val="both"/>
        <w:rPr>
          <w:rFonts w:ascii="Times New Roman" w:hAnsi="Times New Roman" w:cs="Times New Roman"/>
          <w:sz w:val="24"/>
          <w:szCs w:val="24"/>
        </w:rPr>
      </w:pPr>
    </w:p>
    <w:p w14:paraId="41C490A6" w14:textId="385224DA" w:rsidR="00A8121E" w:rsidRDefault="00A8121E" w:rsidP="001A69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Potenciální zdroje</w:t>
      </w:r>
    </w:p>
    <w:p w14:paraId="5B8428A5" w14:textId="62637CA6" w:rsidR="00A2393D" w:rsidRDefault="00A2393D" w:rsidP="00780E19">
      <w:pPr>
        <w:spacing w:line="360" w:lineRule="auto"/>
        <w:rPr>
          <w:rFonts w:ascii="Times New Roman" w:hAnsi="Times New Roman" w:cs="Times New Roman"/>
          <w:sz w:val="24"/>
          <w:szCs w:val="24"/>
        </w:rPr>
      </w:pPr>
      <w:r w:rsidRPr="00A2393D">
        <w:rPr>
          <w:rFonts w:ascii="Times New Roman" w:hAnsi="Times New Roman" w:cs="Times New Roman"/>
          <w:sz w:val="24"/>
          <w:szCs w:val="24"/>
        </w:rPr>
        <w:t>TRATNER, M</w:t>
      </w:r>
      <w:r>
        <w:rPr>
          <w:rFonts w:ascii="Times New Roman" w:hAnsi="Times New Roman" w:cs="Times New Roman"/>
          <w:sz w:val="24"/>
          <w:szCs w:val="24"/>
        </w:rPr>
        <w:t>ichael</w:t>
      </w:r>
      <w:r w:rsidRPr="00A2393D">
        <w:rPr>
          <w:rFonts w:ascii="Times New Roman" w:hAnsi="Times New Roman" w:cs="Times New Roman"/>
          <w:sz w:val="24"/>
          <w:szCs w:val="24"/>
        </w:rPr>
        <w:t xml:space="preserve">. “COLLECTIVE SPECTATORSHIP.” </w:t>
      </w:r>
      <w:r w:rsidRPr="00A2393D">
        <w:rPr>
          <w:rFonts w:ascii="Times New Roman" w:hAnsi="Times New Roman" w:cs="Times New Roman"/>
          <w:i/>
          <w:iCs/>
          <w:sz w:val="24"/>
          <w:szCs w:val="24"/>
        </w:rPr>
        <w:t>Crowd Scenes: Movies and Mass Politics</w:t>
      </w:r>
      <w:r w:rsidRPr="00A2393D">
        <w:rPr>
          <w:rFonts w:ascii="Times New Roman" w:hAnsi="Times New Roman" w:cs="Times New Roman"/>
          <w:sz w:val="24"/>
          <w:szCs w:val="24"/>
        </w:rPr>
        <w:t xml:space="preserve">, Fordham University Press, 2008, pp. 12–32. </w:t>
      </w:r>
      <w:r w:rsidRPr="00A2393D">
        <w:rPr>
          <w:rFonts w:ascii="Times New Roman" w:hAnsi="Times New Roman" w:cs="Times New Roman"/>
          <w:i/>
          <w:iCs/>
          <w:sz w:val="24"/>
          <w:szCs w:val="24"/>
        </w:rPr>
        <w:t>JSTOR</w:t>
      </w:r>
      <w:r w:rsidRPr="00A2393D">
        <w:rPr>
          <w:rFonts w:ascii="Times New Roman" w:hAnsi="Times New Roman" w:cs="Times New Roman"/>
          <w:sz w:val="24"/>
          <w:szCs w:val="24"/>
        </w:rPr>
        <w:t xml:space="preserve">, </w:t>
      </w:r>
      <w:hyperlink r:id="rId4" w:history="1">
        <w:r w:rsidR="006D4F4E" w:rsidRPr="00A2393D">
          <w:rPr>
            <w:rStyle w:val="Hypertextovodkaz"/>
            <w:rFonts w:ascii="Times New Roman" w:hAnsi="Times New Roman" w:cs="Times New Roman"/>
            <w:sz w:val="24"/>
            <w:szCs w:val="24"/>
          </w:rPr>
          <w:t xml:space="preserve">http://www.jstor.org/stable/j.ctt1x76fv9.5. </w:t>
        </w:r>
        <w:r w:rsidR="006D4F4E" w:rsidRPr="006B1DB5">
          <w:rPr>
            <w:rStyle w:val="Hypertextovodkaz"/>
            <w:rFonts w:ascii="Times New Roman" w:hAnsi="Times New Roman" w:cs="Times New Roman"/>
            <w:sz w:val="24"/>
            <w:szCs w:val="24"/>
          </w:rPr>
          <w:t xml:space="preserve"> </w:t>
        </w:r>
        <w:r w:rsidR="006D4F4E" w:rsidRPr="00A2393D">
          <w:rPr>
            <w:rStyle w:val="Hypertextovodkaz"/>
            <w:rFonts w:ascii="Times New Roman" w:hAnsi="Times New Roman" w:cs="Times New Roman"/>
            <w:sz w:val="24"/>
            <w:szCs w:val="24"/>
          </w:rPr>
          <w:t>Accessed 21 Mar. 2026</w:t>
        </w:r>
      </w:hyperlink>
      <w:r w:rsidRPr="00A2393D">
        <w:rPr>
          <w:rFonts w:ascii="Times New Roman" w:hAnsi="Times New Roman" w:cs="Times New Roman"/>
          <w:sz w:val="24"/>
          <w:szCs w:val="24"/>
        </w:rPr>
        <w:t>.</w:t>
      </w:r>
    </w:p>
    <w:p w14:paraId="692984B9" w14:textId="1ACDC763" w:rsidR="00A2393D" w:rsidRPr="00A2393D" w:rsidRDefault="00A2393D" w:rsidP="00780E19">
      <w:pPr>
        <w:spacing w:line="360" w:lineRule="auto"/>
        <w:rPr>
          <w:rFonts w:ascii="Times New Roman" w:hAnsi="Times New Roman" w:cs="Times New Roman"/>
          <w:sz w:val="24"/>
          <w:szCs w:val="24"/>
        </w:rPr>
      </w:pPr>
      <w:r>
        <w:rPr>
          <w:rFonts w:ascii="Times New Roman" w:hAnsi="Times New Roman" w:cs="Times New Roman"/>
          <w:sz w:val="24"/>
          <w:szCs w:val="24"/>
        </w:rPr>
        <w:t>BRADLEY, Laura</w:t>
      </w:r>
      <w:r w:rsidRPr="00A2393D">
        <w:rPr>
          <w:rFonts w:ascii="Times New Roman" w:hAnsi="Times New Roman" w:cs="Times New Roman"/>
          <w:sz w:val="24"/>
          <w:szCs w:val="24"/>
        </w:rPr>
        <w:t xml:space="preserve">. “Training the Audience: Brecht and the Art of Spectatorship.” </w:t>
      </w:r>
      <w:r w:rsidRPr="00A2393D">
        <w:rPr>
          <w:rFonts w:ascii="Times New Roman" w:hAnsi="Times New Roman" w:cs="Times New Roman"/>
          <w:i/>
          <w:iCs/>
          <w:sz w:val="24"/>
          <w:szCs w:val="24"/>
        </w:rPr>
        <w:t>The Modern Language Review</w:t>
      </w:r>
      <w:r w:rsidRPr="00A2393D">
        <w:rPr>
          <w:rFonts w:ascii="Times New Roman" w:hAnsi="Times New Roman" w:cs="Times New Roman"/>
          <w:sz w:val="24"/>
          <w:szCs w:val="24"/>
        </w:rPr>
        <w:t xml:space="preserve">, vol. 111, no. 4, 2016, pp. 1029–48. </w:t>
      </w:r>
      <w:r w:rsidRPr="00A2393D">
        <w:rPr>
          <w:rFonts w:ascii="Times New Roman" w:hAnsi="Times New Roman" w:cs="Times New Roman"/>
          <w:i/>
          <w:iCs/>
          <w:sz w:val="24"/>
          <w:szCs w:val="24"/>
        </w:rPr>
        <w:t>JSTOR</w:t>
      </w:r>
      <w:r w:rsidRPr="00A2393D">
        <w:rPr>
          <w:rFonts w:ascii="Times New Roman" w:hAnsi="Times New Roman" w:cs="Times New Roman"/>
          <w:sz w:val="24"/>
          <w:szCs w:val="24"/>
        </w:rPr>
        <w:t>, https://doi.org/10.5699/modelangrevi.111.4.1029. Accessed 21 Mar. 2026.</w:t>
      </w:r>
    </w:p>
    <w:p w14:paraId="1769866D" w14:textId="510D121F" w:rsidR="00780E19" w:rsidRDefault="00780E19" w:rsidP="00780E19">
      <w:pPr>
        <w:spacing w:line="360" w:lineRule="auto"/>
        <w:jc w:val="both"/>
        <w:rPr>
          <w:rFonts w:ascii="Times New Roman" w:hAnsi="Times New Roman" w:cs="Times New Roman"/>
          <w:sz w:val="24"/>
          <w:szCs w:val="24"/>
        </w:rPr>
      </w:pPr>
      <w:r w:rsidRPr="00780E19">
        <w:rPr>
          <w:rFonts w:ascii="Times New Roman" w:hAnsi="Times New Roman" w:cs="Times New Roman"/>
          <w:sz w:val="24"/>
          <w:szCs w:val="24"/>
        </w:rPr>
        <w:lastRenderedPageBreak/>
        <w:t>S</w:t>
      </w:r>
      <w:r>
        <w:rPr>
          <w:rFonts w:ascii="Times New Roman" w:hAnsi="Times New Roman" w:cs="Times New Roman"/>
          <w:sz w:val="24"/>
          <w:szCs w:val="24"/>
        </w:rPr>
        <w:t>AKELLIRADOU</w:t>
      </w:r>
      <w:r w:rsidRPr="00780E19">
        <w:rPr>
          <w:rFonts w:ascii="Times New Roman" w:hAnsi="Times New Roman" w:cs="Times New Roman"/>
          <w:sz w:val="24"/>
          <w:szCs w:val="24"/>
        </w:rPr>
        <w:t xml:space="preserve">, Elizabeth. “‘Oh My God, Audience Participation!’: Some Twenty-First-Century Reflections.” </w:t>
      </w:r>
      <w:r w:rsidRPr="00780E19">
        <w:rPr>
          <w:rFonts w:ascii="Times New Roman" w:hAnsi="Times New Roman" w:cs="Times New Roman"/>
          <w:i/>
          <w:iCs/>
          <w:sz w:val="24"/>
          <w:szCs w:val="24"/>
        </w:rPr>
        <w:t>Comparative Drama</w:t>
      </w:r>
      <w:r w:rsidRPr="00780E19">
        <w:rPr>
          <w:rFonts w:ascii="Times New Roman" w:hAnsi="Times New Roman" w:cs="Times New Roman"/>
          <w:sz w:val="24"/>
          <w:szCs w:val="24"/>
        </w:rPr>
        <w:t xml:space="preserve">, vol. 48, no. 1/2, 2014, pp. 13–38. </w:t>
      </w:r>
      <w:r w:rsidRPr="00780E19">
        <w:rPr>
          <w:rFonts w:ascii="Times New Roman" w:hAnsi="Times New Roman" w:cs="Times New Roman"/>
          <w:i/>
          <w:iCs/>
          <w:sz w:val="24"/>
          <w:szCs w:val="24"/>
        </w:rPr>
        <w:t>JSTOR</w:t>
      </w:r>
      <w:r w:rsidRPr="00780E19">
        <w:rPr>
          <w:rFonts w:ascii="Times New Roman" w:hAnsi="Times New Roman" w:cs="Times New Roman"/>
          <w:sz w:val="24"/>
          <w:szCs w:val="24"/>
        </w:rPr>
        <w:t>, http://www.jstor.org/stable/24615349. Accessed 21 Mar. 2026.</w:t>
      </w:r>
    </w:p>
    <w:p w14:paraId="00FC0CAC" w14:textId="6329408E" w:rsidR="006D4F4E" w:rsidRDefault="006D4F4E" w:rsidP="00780E19">
      <w:pPr>
        <w:spacing w:line="360" w:lineRule="auto"/>
        <w:jc w:val="both"/>
        <w:rPr>
          <w:rFonts w:ascii="Times New Roman" w:hAnsi="Times New Roman" w:cs="Times New Roman"/>
          <w:sz w:val="24"/>
          <w:szCs w:val="24"/>
        </w:rPr>
      </w:pPr>
      <w:r w:rsidRPr="006D4F4E">
        <w:rPr>
          <w:rFonts w:ascii="Times New Roman" w:hAnsi="Times New Roman" w:cs="Times New Roman"/>
          <w:sz w:val="24"/>
          <w:szCs w:val="24"/>
        </w:rPr>
        <w:t>HEIDEGGER, Martin. </w:t>
      </w:r>
      <w:r w:rsidRPr="006D4F4E">
        <w:rPr>
          <w:rFonts w:ascii="Times New Roman" w:hAnsi="Times New Roman" w:cs="Times New Roman"/>
          <w:i/>
          <w:iCs/>
          <w:sz w:val="24"/>
          <w:szCs w:val="24"/>
        </w:rPr>
        <w:t>Bytí a čas</w:t>
      </w:r>
      <w:r w:rsidRPr="006D4F4E">
        <w:rPr>
          <w:rFonts w:ascii="Times New Roman" w:hAnsi="Times New Roman" w:cs="Times New Roman"/>
          <w:sz w:val="24"/>
          <w:szCs w:val="24"/>
        </w:rPr>
        <w:t>. 2. opr. vyd. Přeložil Ivan CHVATÍK. Knihovna novověké tradice a současnosti. Praha: Oikoymenh, 2008. ISBN 978-80-7298-048-3.</w:t>
      </w:r>
    </w:p>
    <w:p w14:paraId="6B3DC839" w14:textId="5D155C49" w:rsidR="002A7633" w:rsidRPr="00780E19" w:rsidRDefault="002A7633" w:rsidP="00780E19">
      <w:pPr>
        <w:spacing w:line="360" w:lineRule="auto"/>
        <w:jc w:val="both"/>
        <w:rPr>
          <w:rFonts w:ascii="Times New Roman" w:hAnsi="Times New Roman" w:cs="Times New Roman"/>
          <w:sz w:val="24"/>
          <w:szCs w:val="24"/>
        </w:rPr>
      </w:pPr>
      <w:r>
        <w:rPr>
          <w:rFonts w:ascii="Times New Roman" w:hAnsi="Times New Roman" w:cs="Times New Roman"/>
          <w:sz w:val="24"/>
          <w:szCs w:val="24"/>
        </w:rPr>
        <w:t>A další.</w:t>
      </w:r>
    </w:p>
    <w:p w14:paraId="07564645" w14:textId="77777777" w:rsidR="00A2393D" w:rsidRPr="00A2393D" w:rsidRDefault="00A2393D" w:rsidP="00A2393D">
      <w:pPr>
        <w:spacing w:line="360" w:lineRule="auto"/>
        <w:jc w:val="both"/>
        <w:rPr>
          <w:rFonts w:ascii="Times New Roman" w:hAnsi="Times New Roman" w:cs="Times New Roman"/>
          <w:sz w:val="24"/>
          <w:szCs w:val="24"/>
        </w:rPr>
      </w:pPr>
    </w:p>
    <w:p w14:paraId="387BF501" w14:textId="77777777" w:rsidR="00A2393D" w:rsidRPr="00A8121E" w:rsidRDefault="00A2393D" w:rsidP="001A6950">
      <w:pPr>
        <w:spacing w:line="360" w:lineRule="auto"/>
        <w:jc w:val="both"/>
        <w:rPr>
          <w:rFonts w:ascii="Times New Roman" w:hAnsi="Times New Roman" w:cs="Times New Roman"/>
          <w:sz w:val="24"/>
          <w:szCs w:val="24"/>
        </w:rPr>
      </w:pPr>
    </w:p>
    <w:sectPr w:rsidR="00A2393D" w:rsidRPr="00A812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8DB"/>
    <w:rsid w:val="00067469"/>
    <w:rsid w:val="001A6950"/>
    <w:rsid w:val="002A7633"/>
    <w:rsid w:val="003E2348"/>
    <w:rsid w:val="004205EC"/>
    <w:rsid w:val="00626487"/>
    <w:rsid w:val="006D4F4E"/>
    <w:rsid w:val="00704C45"/>
    <w:rsid w:val="007704C6"/>
    <w:rsid w:val="00780E19"/>
    <w:rsid w:val="008F48DB"/>
    <w:rsid w:val="009410BA"/>
    <w:rsid w:val="00A06AEC"/>
    <w:rsid w:val="00A2393D"/>
    <w:rsid w:val="00A8121E"/>
    <w:rsid w:val="00AF1112"/>
    <w:rsid w:val="00BE7FB3"/>
    <w:rsid w:val="00C0244A"/>
    <w:rsid w:val="00C2129F"/>
    <w:rsid w:val="00D306F9"/>
    <w:rsid w:val="00D9687F"/>
    <w:rsid w:val="00E821D6"/>
    <w:rsid w:val="00EE3D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D30FA"/>
  <w15:chartTrackingRefBased/>
  <w15:docId w15:val="{7D27F1B6-5C20-4884-81F5-87211A0A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05EC"/>
  </w:style>
  <w:style w:type="paragraph" w:styleId="Nadpis1">
    <w:name w:val="heading 1"/>
    <w:basedOn w:val="Normln"/>
    <w:next w:val="Normln"/>
    <w:link w:val="Nadpis1Char"/>
    <w:uiPriority w:val="9"/>
    <w:qFormat/>
    <w:rsid w:val="008F48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8F48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8F48D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F48D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F48D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F48D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F48D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F48D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F48D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F48D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8F48D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8F48D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F48D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F48D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F48D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F48D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F48D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F48DB"/>
    <w:rPr>
      <w:rFonts w:eastAsiaTheme="majorEastAsia" w:cstheme="majorBidi"/>
      <w:color w:val="272727" w:themeColor="text1" w:themeTint="D8"/>
    </w:rPr>
  </w:style>
  <w:style w:type="paragraph" w:styleId="Nzev">
    <w:name w:val="Title"/>
    <w:basedOn w:val="Normln"/>
    <w:next w:val="Normln"/>
    <w:link w:val="NzevChar"/>
    <w:uiPriority w:val="10"/>
    <w:qFormat/>
    <w:rsid w:val="008F4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F48D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F48D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F48D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F48DB"/>
    <w:pPr>
      <w:spacing w:before="160"/>
      <w:jc w:val="center"/>
    </w:pPr>
    <w:rPr>
      <w:i/>
      <w:iCs/>
      <w:color w:val="404040" w:themeColor="text1" w:themeTint="BF"/>
    </w:rPr>
  </w:style>
  <w:style w:type="character" w:customStyle="1" w:styleId="CittChar">
    <w:name w:val="Citát Char"/>
    <w:basedOn w:val="Standardnpsmoodstavce"/>
    <w:link w:val="Citt"/>
    <w:uiPriority w:val="29"/>
    <w:rsid w:val="008F48DB"/>
    <w:rPr>
      <w:i/>
      <w:iCs/>
      <w:color w:val="404040" w:themeColor="text1" w:themeTint="BF"/>
    </w:rPr>
  </w:style>
  <w:style w:type="paragraph" w:styleId="Odstavecseseznamem">
    <w:name w:val="List Paragraph"/>
    <w:basedOn w:val="Normln"/>
    <w:uiPriority w:val="34"/>
    <w:qFormat/>
    <w:rsid w:val="008F48DB"/>
    <w:pPr>
      <w:ind w:left="720"/>
      <w:contextualSpacing/>
    </w:pPr>
  </w:style>
  <w:style w:type="character" w:styleId="Zdraznnintenzivn">
    <w:name w:val="Intense Emphasis"/>
    <w:basedOn w:val="Standardnpsmoodstavce"/>
    <w:uiPriority w:val="21"/>
    <w:qFormat/>
    <w:rsid w:val="008F48DB"/>
    <w:rPr>
      <w:i/>
      <w:iCs/>
      <w:color w:val="2F5496" w:themeColor="accent1" w:themeShade="BF"/>
    </w:rPr>
  </w:style>
  <w:style w:type="paragraph" w:styleId="Vrazncitt">
    <w:name w:val="Intense Quote"/>
    <w:basedOn w:val="Normln"/>
    <w:next w:val="Normln"/>
    <w:link w:val="VrazncittChar"/>
    <w:uiPriority w:val="30"/>
    <w:qFormat/>
    <w:rsid w:val="008F4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F48DB"/>
    <w:rPr>
      <w:i/>
      <w:iCs/>
      <w:color w:val="2F5496" w:themeColor="accent1" w:themeShade="BF"/>
    </w:rPr>
  </w:style>
  <w:style w:type="character" w:styleId="Odkazintenzivn">
    <w:name w:val="Intense Reference"/>
    <w:basedOn w:val="Standardnpsmoodstavce"/>
    <w:uiPriority w:val="32"/>
    <w:qFormat/>
    <w:rsid w:val="008F48DB"/>
    <w:rPr>
      <w:b/>
      <w:bCs/>
      <w:smallCaps/>
      <w:color w:val="2F5496" w:themeColor="accent1" w:themeShade="BF"/>
      <w:spacing w:val="5"/>
    </w:rPr>
  </w:style>
  <w:style w:type="character" w:styleId="Hypertextovodkaz">
    <w:name w:val="Hyperlink"/>
    <w:basedOn w:val="Standardnpsmoodstavce"/>
    <w:uiPriority w:val="99"/>
    <w:unhideWhenUsed/>
    <w:rsid w:val="00A2393D"/>
    <w:rPr>
      <w:color w:val="0563C1" w:themeColor="hyperlink"/>
      <w:u w:val="single"/>
    </w:rPr>
  </w:style>
  <w:style w:type="character" w:styleId="Nevyeenzmnka">
    <w:name w:val="Unresolved Mention"/>
    <w:basedOn w:val="Standardnpsmoodstavce"/>
    <w:uiPriority w:val="99"/>
    <w:semiHidden/>
    <w:unhideWhenUsed/>
    <w:rsid w:val="00A23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stor.org/stable/j.ctt1x76fv9.5.%20%20Accessed%2021%20Mar.%202026"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378</Words>
  <Characters>2233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Tesárek</dc:creator>
  <cp:keywords/>
  <dc:description/>
  <cp:lastModifiedBy>Jakub Tesárek</cp:lastModifiedBy>
  <cp:revision>14</cp:revision>
  <dcterms:created xsi:type="dcterms:W3CDTF">2026-03-21T11:27:00Z</dcterms:created>
  <dcterms:modified xsi:type="dcterms:W3CDTF">2026-03-21T11:53:00Z</dcterms:modified>
</cp:coreProperties>
</file>