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7DF2" w14:textId="77777777" w:rsidR="007B6A79" w:rsidRDefault="00753EE3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Andragogika a vzdělávání dospělých</w:t>
      </w:r>
    </w:p>
    <w:p w14:paraId="053A6084" w14:textId="214057BE" w:rsidR="00307736" w:rsidRDefault="00753EE3">
      <w:pPr>
        <w:jc w:val="center"/>
      </w:pPr>
      <w:r>
        <w:rPr>
          <w:rFonts w:ascii="Cambria" w:hAnsi="Cambria"/>
          <w:b/>
          <w:sz w:val="28"/>
          <w:szCs w:val="28"/>
        </w:rPr>
        <w:t xml:space="preserve"> LS 202</w:t>
      </w:r>
      <w:r w:rsidR="00EB2473">
        <w:rPr>
          <w:rFonts w:ascii="Cambria" w:hAnsi="Cambria"/>
          <w:b/>
          <w:sz w:val="28"/>
          <w:szCs w:val="28"/>
        </w:rPr>
        <w:t>5</w:t>
      </w:r>
      <w:r>
        <w:rPr>
          <w:rFonts w:ascii="Cambria" w:hAnsi="Cambria"/>
          <w:b/>
          <w:sz w:val="28"/>
          <w:szCs w:val="28"/>
        </w:rPr>
        <w:t>/</w:t>
      </w:r>
      <w:r w:rsidR="007B6A79">
        <w:rPr>
          <w:rFonts w:ascii="Cambria" w:hAnsi="Cambria"/>
          <w:b/>
          <w:sz w:val="28"/>
          <w:szCs w:val="28"/>
        </w:rPr>
        <w:t>20</w:t>
      </w:r>
      <w:r>
        <w:rPr>
          <w:rFonts w:ascii="Cambria" w:hAnsi="Cambria"/>
          <w:b/>
          <w:sz w:val="28"/>
          <w:szCs w:val="28"/>
        </w:rPr>
        <w:t>2</w:t>
      </w:r>
      <w:r w:rsidR="00EB2473">
        <w:rPr>
          <w:rFonts w:ascii="Cambria" w:hAnsi="Cambria"/>
          <w:b/>
          <w:sz w:val="28"/>
          <w:szCs w:val="28"/>
        </w:rPr>
        <w:t>6</w:t>
      </w:r>
    </w:p>
    <w:p w14:paraId="2B954A1F" w14:textId="1D2CC99C" w:rsidR="00307736" w:rsidRDefault="00753EE3">
      <w:pPr>
        <w:jc w:val="center"/>
      </w:pPr>
      <w:r>
        <w:rPr>
          <w:rFonts w:ascii="Cambria" w:hAnsi="Cambria"/>
          <w:b/>
          <w:sz w:val="24"/>
          <w:szCs w:val="24"/>
        </w:rPr>
        <w:t>Náměty vyučujících předmětů pro zápočtové p</w:t>
      </w:r>
      <w:r w:rsidR="00F646F6">
        <w:rPr>
          <w:rFonts w:ascii="Cambria" w:hAnsi="Cambria"/>
          <w:b/>
          <w:sz w:val="24"/>
          <w:szCs w:val="24"/>
        </w:rPr>
        <w:t>ráce</w:t>
      </w:r>
    </w:p>
    <w:p w14:paraId="19495A82" w14:textId="77777777" w:rsidR="00307736" w:rsidRDefault="00307736">
      <w:pPr>
        <w:rPr>
          <w:rFonts w:ascii="Cambria" w:hAnsi="Cambria"/>
          <w:sz w:val="24"/>
          <w:szCs w:val="24"/>
        </w:rPr>
      </w:pPr>
    </w:p>
    <w:p w14:paraId="2E21FF80" w14:textId="77777777" w:rsidR="00307736" w:rsidRDefault="00753EE3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Olga Běhounková </w:t>
      </w:r>
    </w:p>
    <w:p w14:paraId="695395E8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 xml:space="preserve">Poradenství ve vzdělávání dospělých </w:t>
      </w:r>
    </w:p>
    <w:p w14:paraId="46AADF44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Kompetence kariérového poradce</w:t>
      </w:r>
    </w:p>
    <w:p w14:paraId="24440274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Metody vzdělávání na pracovišti (používané v každodenní praxi jako součást vzdělávacího a rozvojového procesu pracovníků)</w:t>
      </w:r>
    </w:p>
    <w:p w14:paraId="601EF24E" w14:textId="50C386EB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Metody vzdělávání mimo pracoviště</w:t>
      </w:r>
    </w:p>
    <w:p w14:paraId="5217F94C" w14:textId="1DEB822E" w:rsidR="00F20454" w:rsidRDefault="00753EE3" w:rsidP="00F20454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Trendy v rozvoji a vzdělávání pracovníků</w:t>
      </w:r>
      <w:r w:rsidR="00F20454">
        <w:rPr>
          <w:rFonts w:ascii="Cambria" w:hAnsi="Cambria" w:cs="Calibri"/>
        </w:rPr>
        <w:t xml:space="preserve"> pro rok 202</w:t>
      </w:r>
      <w:r w:rsidR="00EB2473">
        <w:rPr>
          <w:rFonts w:ascii="Cambria" w:hAnsi="Cambria" w:cs="Calibri"/>
        </w:rPr>
        <w:t>6</w:t>
      </w:r>
    </w:p>
    <w:p w14:paraId="26B413D5" w14:textId="5F37CCAF" w:rsidR="00307736" w:rsidRPr="00F20454" w:rsidRDefault="00F20454" w:rsidP="00F20454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 w:rsidRPr="00F20454">
        <w:rPr>
          <w:rFonts w:ascii="Cambria" w:hAnsi="Cambria" w:cs="Calibri"/>
        </w:rPr>
        <w:t>Využití možností a nástrojů AI v</w:t>
      </w:r>
      <w:r>
        <w:rPr>
          <w:rFonts w:ascii="Cambria" w:hAnsi="Cambria" w:cs="Calibri"/>
        </w:rPr>
        <w:t xml:space="preserve"> rozvoji a vzdělávání pracovníků</w:t>
      </w:r>
    </w:p>
    <w:p w14:paraId="5CABA234" w14:textId="77777777" w:rsidR="00F20454" w:rsidRPr="00F20454" w:rsidRDefault="00F20454" w:rsidP="00E013FA">
      <w:pPr>
        <w:pStyle w:val="Normlnweb"/>
        <w:spacing w:beforeAutospacing="0" w:after="0" w:afterAutospacing="0"/>
        <w:ind w:left="1080"/>
        <w:rPr>
          <w:rFonts w:ascii="Cambria" w:hAnsi="Cambria" w:cs="Calibri"/>
        </w:rPr>
      </w:pPr>
    </w:p>
    <w:p w14:paraId="6569A014" w14:textId="77777777" w:rsidR="00307736" w:rsidRDefault="00753EE3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Martin Kopecký</w:t>
      </w:r>
    </w:p>
    <w:p w14:paraId="202F06F8" w14:textId="695867CD" w:rsidR="00307736" w:rsidRDefault="00753EE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(poznámka: u všech níže uvedených témat se předpokládá zpracování za pomoci pramenů v AJ)</w:t>
      </w:r>
    </w:p>
    <w:p w14:paraId="472B1A8E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Globální a rozvojové vzdělávání – cíle a přístupy</w:t>
      </w:r>
    </w:p>
    <w:p w14:paraId="5BA697D8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 xml:space="preserve">Koncept učících se měst </w:t>
      </w:r>
    </w:p>
    <w:p w14:paraId="211C26A4" w14:textId="3ECD0D0A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Občanské vzdělávání</w:t>
      </w:r>
      <w:r w:rsidR="00F646F6">
        <w:rPr>
          <w:rFonts w:ascii="Cambria" w:hAnsi="Cambria" w:cs="Calibri"/>
        </w:rPr>
        <w:t>, integrace</w:t>
      </w:r>
      <w:r>
        <w:rPr>
          <w:rFonts w:ascii="Cambria" w:hAnsi="Cambria" w:cs="Calibri"/>
        </w:rPr>
        <w:t xml:space="preserve"> a migrace </w:t>
      </w:r>
    </w:p>
    <w:p w14:paraId="50032E01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Občanské vzdělávání dospělých v perspektivě UNESCO (podle zprávy GRALE 5)</w:t>
      </w:r>
    </w:p>
    <w:p w14:paraId="2508C0B2" w14:textId="3FBB09BA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Vybrané současné přístupy k</w:t>
      </w:r>
      <w:r w:rsidR="006347A7">
        <w:rPr>
          <w:rFonts w:ascii="Cambria" w:hAnsi="Cambria" w:cs="Calibri"/>
        </w:rPr>
        <w:t xml:space="preserve"> rozvoji dovedností </w:t>
      </w:r>
      <w:r w:rsidR="00F646F6">
        <w:rPr>
          <w:rFonts w:ascii="Cambria" w:hAnsi="Cambria" w:cs="Calibri"/>
        </w:rPr>
        <w:t>(zej. OECD)</w:t>
      </w:r>
    </w:p>
    <w:p w14:paraId="5BD52875" w14:textId="67B00AA6" w:rsidR="00307736" w:rsidRDefault="00AA2BCB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Podpora ú</w:t>
      </w:r>
      <w:r w:rsidR="00753EE3">
        <w:rPr>
          <w:rFonts w:ascii="Cambria" w:hAnsi="Cambria" w:cs="Calibri"/>
        </w:rPr>
        <w:t>čast</w:t>
      </w:r>
      <w:r>
        <w:rPr>
          <w:rFonts w:ascii="Cambria" w:hAnsi="Cambria" w:cs="Calibri"/>
        </w:rPr>
        <w:t>i</w:t>
      </w:r>
      <w:r w:rsidR="00753EE3">
        <w:rPr>
          <w:rFonts w:ascii="Cambria" w:hAnsi="Cambria" w:cs="Calibri"/>
        </w:rPr>
        <w:t xml:space="preserve"> a </w:t>
      </w:r>
      <w:r>
        <w:rPr>
          <w:rFonts w:ascii="Cambria" w:hAnsi="Cambria" w:cs="Calibri"/>
        </w:rPr>
        <w:t xml:space="preserve">překonávání jejích </w:t>
      </w:r>
      <w:r w:rsidR="00753EE3">
        <w:rPr>
          <w:rFonts w:ascii="Cambria" w:hAnsi="Cambria" w:cs="Calibri"/>
        </w:rPr>
        <w:t>bariér ve vzdělávání dospělých</w:t>
      </w:r>
    </w:p>
    <w:p w14:paraId="48494701" w14:textId="77777777" w:rsidR="00307736" w:rsidRDefault="00307736">
      <w:pPr>
        <w:rPr>
          <w:rFonts w:ascii="Cambria" w:hAnsi="Cambria"/>
          <w:sz w:val="24"/>
          <w:szCs w:val="24"/>
        </w:rPr>
      </w:pPr>
    </w:p>
    <w:p w14:paraId="3E35C2D0" w14:textId="77777777" w:rsidR="00307736" w:rsidRDefault="00753EE3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Michal Šerák </w:t>
      </w:r>
    </w:p>
    <w:p w14:paraId="2F7F6A0C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Analýza vybraného strategického dokumentu spojeného s realizací politiky celoživotního učení</w:t>
      </w:r>
    </w:p>
    <w:p w14:paraId="461428F3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Kompetence a aktivity Ministerstva školství, mládeže a tělovýchovy v kontextu vzdělávání dospělých</w:t>
      </w:r>
    </w:p>
    <w:p w14:paraId="0E73BCE9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Vzdělávání dospělých v Československu v období reálného socialismu</w:t>
      </w:r>
    </w:p>
    <w:p w14:paraId="0922E6D4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Specifika vzdělávání nezaměstnaných, rekvalifikace</w:t>
      </w:r>
    </w:p>
    <w:p w14:paraId="1AFDFEA0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Legislativní zakotvení dalšího vzdělávání – příklad vybrané země EU</w:t>
      </w:r>
    </w:p>
    <w:p w14:paraId="1D1E0F07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Volnočasové vzdělávání dospělých</w:t>
      </w:r>
    </w:p>
    <w:p w14:paraId="25333D49" w14:textId="77777777" w:rsidR="00307736" w:rsidRDefault="00753EE3">
      <w:pPr>
        <w:pStyle w:val="Normlnweb"/>
        <w:numPr>
          <w:ilvl w:val="0"/>
          <w:numId w:val="1"/>
        </w:numPr>
        <w:spacing w:beforeAutospacing="0" w:after="0" w:afterAutospacing="0"/>
        <w:rPr>
          <w:rFonts w:ascii="Cambria" w:hAnsi="Cambria" w:cs="Calibri"/>
        </w:rPr>
      </w:pPr>
      <w:r>
        <w:rPr>
          <w:rFonts w:ascii="Cambria" w:hAnsi="Cambria" w:cs="Calibri"/>
        </w:rPr>
        <w:t>Senioři a specifika učení se ve třetím věku</w:t>
      </w:r>
    </w:p>
    <w:p w14:paraId="39C2E6C5" w14:textId="77777777" w:rsidR="00307736" w:rsidRDefault="00307736"/>
    <w:p w14:paraId="051BF7D3" w14:textId="77777777" w:rsidR="00307736" w:rsidRDefault="00307736">
      <w:pPr>
        <w:jc w:val="both"/>
        <w:rPr>
          <w:rFonts w:ascii="Cambria" w:hAnsi="Cambria"/>
          <w:b/>
          <w:sz w:val="24"/>
          <w:szCs w:val="24"/>
        </w:rPr>
      </w:pPr>
    </w:p>
    <w:p w14:paraId="1CFF0E7B" w14:textId="77777777" w:rsidR="00307736" w:rsidRDefault="00753EE3">
      <w:p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Je možné přijít s vlastním návrhem k tematickému zaměření zápočtového projektu a prodiskutovat možnosti jeho zpracování s vybraným vyučujícím – v takovém případě oslovte e-mailem vyučující(ho), u které(ho) předpokládáte korespondenci zvažovaného tématu s jeho/ jejím odborným profilem.  </w:t>
      </w:r>
    </w:p>
    <w:p w14:paraId="7FDB3A54" w14:textId="77777777" w:rsidR="00307736" w:rsidRDefault="00753EE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 xml:space="preserve">Požadavky na zápočtovou práci </w:t>
      </w:r>
    </w:p>
    <w:p w14:paraId="1859AAD2" w14:textId="77777777" w:rsidR="00307736" w:rsidRDefault="00753EE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Práce musí obsahovat (kromě teoretického rozpracování problému) i vlastní přínos autora v podobě úvahy, rozvíjení souhlasu či kritiky vybraného přístupu, srovnání s jinou možno perspektivou apod. Další podrobnosti jsou věcí domluvy mezi studentem a vybraným vyučujícím. </w:t>
      </w:r>
    </w:p>
    <w:p w14:paraId="42FAE8F8" w14:textId="77777777" w:rsidR="00307736" w:rsidRDefault="00753EE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Minimální rozsah textu (mimo soupis citací): 9 000 znaků včetně mezer.</w:t>
      </w:r>
    </w:p>
    <w:p w14:paraId="2EC85227" w14:textId="49DB2E6C" w:rsidR="00307736" w:rsidRDefault="00753EE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Termín odevzdání: nejpozději</w:t>
      </w:r>
      <w:r w:rsidR="007B6A79">
        <w:rPr>
          <w:rFonts w:ascii="Cambria" w:hAnsi="Cambria"/>
          <w:sz w:val="24"/>
          <w:szCs w:val="24"/>
        </w:rPr>
        <w:t xml:space="preserve"> 7</w:t>
      </w:r>
      <w:r>
        <w:rPr>
          <w:rFonts w:ascii="Cambria" w:hAnsi="Cambria"/>
          <w:sz w:val="24"/>
          <w:szCs w:val="24"/>
        </w:rPr>
        <w:t xml:space="preserve"> dní před termínem konání zkoušky souběžně na e-maily všech vyučujících.</w:t>
      </w:r>
    </w:p>
    <w:p w14:paraId="560476C3" w14:textId="77777777" w:rsidR="00307736" w:rsidRDefault="00753EE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Odkazování pramenů a Soupis bibliografických citací musí být v souladu s pokyny katedry (článek 6), které jsou k dispozici na: </w:t>
      </w:r>
    </w:p>
    <w:p w14:paraId="044CF375" w14:textId="77777777" w:rsidR="00307736" w:rsidRDefault="00753EE3">
      <w:pPr>
        <w:jc w:val="both"/>
        <w:rPr>
          <w:rFonts w:ascii="Cambria" w:hAnsi="Cambria"/>
          <w:sz w:val="24"/>
          <w:szCs w:val="24"/>
        </w:rPr>
      </w:pPr>
      <w:hyperlink r:id="rId8">
        <w:r>
          <w:rPr>
            <w:rStyle w:val="Internetovodkaz"/>
            <w:rFonts w:ascii="Cambria" w:hAnsi="Cambria"/>
            <w:sz w:val="24"/>
            <w:szCs w:val="24"/>
          </w:rPr>
          <w:t>http://andragogika.ff.cuni.cz/system/files/Pokyny%20k%20vypracov%C3%A1n%C3%AD%20BP%20a%20DP_LS2018.pdf</w:t>
        </w:r>
      </w:hyperlink>
      <w:r>
        <w:rPr>
          <w:rFonts w:ascii="Cambria" w:hAnsi="Cambria"/>
          <w:sz w:val="24"/>
          <w:szCs w:val="24"/>
        </w:rPr>
        <w:t xml:space="preserve"> </w:t>
      </w:r>
    </w:p>
    <w:p w14:paraId="1724701A" w14:textId="77777777" w:rsidR="00307736" w:rsidRDefault="00753EE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Dále lze využít příklady citování uváděné na: </w:t>
      </w:r>
    </w:p>
    <w:p w14:paraId="6BED4971" w14:textId="77777777" w:rsidR="00307736" w:rsidRDefault="00753EE3">
      <w:pPr>
        <w:jc w:val="both"/>
        <w:rPr>
          <w:rFonts w:ascii="Cambria" w:hAnsi="Cambria"/>
          <w:sz w:val="24"/>
          <w:szCs w:val="24"/>
        </w:rPr>
      </w:pPr>
      <w:hyperlink r:id="rId9">
        <w:r>
          <w:rPr>
            <w:rStyle w:val="Internetovodkaz"/>
            <w:rFonts w:ascii="Cambria" w:hAnsi="Cambria"/>
            <w:sz w:val="24"/>
            <w:szCs w:val="24"/>
          </w:rPr>
          <w:t>http://andragogika.ff.cuni.cz/system/files/CITOV%C3%81N%C3%8D_3.pdf</w:t>
        </w:r>
      </w:hyperlink>
      <w:r>
        <w:rPr>
          <w:rFonts w:ascii="Cambria" w:hAnsi="Cambria"/>
          <w:sz w:val="24"/>
          <w:szCs w:val="24"/>
        </w:rPr>
        <w:t xml:space="preserve"> </w:t>
      </w:r>
    </w:p>
    <w:p w14:paraId="09277681" w14:textId="77777777" w:rsidR="00307736" w:rsidRDefault="00307736">
      <w:pPr>
        <w:jc w:val="both"/>
        <w:rPr>
          <w:rFonts w:ascii="Cambria" w:hAnsi="Cambria"/>
          <w:sz w:val="24"/>
          <w:szCs w:val="24"/>
        </w:rPr>
      </w:pPr>
    </w:p>
    <w:p w14:paraId="49F9EF7B" w14:textId="77777777" w:rsidR="00307736" w:rsidRDefault="00307736">
      <w:pPr>
        <w:jc w:val="both"/>
        <w:rPr>
          <w:rFonts w:ascii="Cambria" w:hAnsi="Cambria"/>
          <w:sz w:val="24"/>
          <w:szCs w:val="24"/>
        </w:rPr>
      </w:pPr>
    </w:p>
    <w:p w14:paraId="14651981" w14:textId="77777777" w:rsidR="00307736" w:rsidRDefault="00307736">
      <w:pPr>
        <w:jc w:val="both"/>
      </w:pPr>
    </w:p>
    <w:sectPr w:rsidR="0030773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33B3"/>
    <w:multiLevelType w:val="multilevel"/>
    <w:tmpl w:val="55C0F8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54374B"/>
    <w:multiLevelType w:val="multilevel"/>
    <w:tmpl w:val="FCD4D9EE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 w16cid:durableId="1778285205">
    <w:abstractNumId w:val="1"/>
  </w:num>
  <w:num w:numId="2" w16cid:durableId="13876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36"/>
    <w:rsid w:val="0015691C"/>
    <w:rsid w:val="00222BBF"/>
    <w:rsid w:val="00227736"/>
    <w:rsid w:val="00290B43"/>
    <w:rsid w:val="00307736"/>
    <w:rsid w:val="005D774D"/>
    <w:rsid w:val="006347A7"/>
    <w:rsid w:val="00713F60"/>
    <w:rsid w:val="00753EE3"/>
    <w:rsid w:val="007B6A79"/>
    <w:rsid w:val="008F72F6"/>
    <w:rsid w:val="00995C96"/>
    <w:rsid w:val="00AA2BCB"/>
    <w:rsid w:val="00BF5353"/>
    <w:rsid w:val="00C03D45"/>
    <w:rsid w:val="00DD571C"/>
    <w:rsid w:val="00E013FA"/>
    <w:rsid w:val="00EB2473"/>
    <w:rsid w:val="00EB4060"/>
    <w:rsid w:val="00F20454"/>
    <w:rsid w:val="00F6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C997"/>
  <w15:docId w15:val="{AFA89230-5BCD-4D69-AEEA-B0D5182B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6011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CE4F73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ormlnweb">
    <w:name w:val="Normal (Web)"/>
    <w:basedOn w:val="Normln"/>
    <w:uiPriority w:val="99"/>
    <w:unhideWhenUsed/>
    <w:qFormat/>
    <w:rsid w:val="00E012F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E4F73"/>
    <w:pPr>
      <w:ind w:left="720"/>
      <w:contextualSpacing/>
    </w:pPr>
  </w:style>
  <w:style w:type="paragraph" w:styleId="Revize">
    <w:name w:val="Revision"/>
    <w:hidden/>
    <w:uiPriority w:val="99"/>
    <w:semiHidden/>
    <w:rsid w:val="008F72F6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dragogika.ff.cuni.cz/system/files/Pokyny%20k%20vypracov&#225;n&#237;%20BP%20a%20DP_LS201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andragogika.ff.cuni.cz/system/files/CITOV&#193;N&#205;_3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c72eaa-7373-4ef1-bc22-38b473c4b25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44D565E436C04789580E29FB03480B" ma:contentTypeVersion="16" ma:contentTypeDescription="Vytvoří nový dokument" ma:contentTypeScope="" ma:versionID="24e2397bf627e57a8b6cc8706687d256">
  <xsd:schema xmlns:xsd="http://www.w3.org/2001/XMLSchema" xmlns:xs="http://www.w3.org/2001/XMLSchema" xmlns:p="http://schemas.microsoft.com/office/2006/metadata/properties" xmlns:ns3="5ac72eaa-7373-4ef1-bc22-38b473c4b253" xmlns:ns4="ae5290ed-6eb3-4c51-a82b-725f6b5f4f33" targetNamespace="http://schemas.microsoft.com/office/2006/metadata/properties" ma:root="true" ma:fieldsID="af05ddb8dbdec2d794eee3664d1c60cf" ns3:_="" ns4:_="">
    <xsd:import namespace="5ac72eaa-7373-4ef1-bc22-38b473c4b253"/>
    <xsd:import namespace="ae5290ed-6eb3-4c51-a82b-725f6b5f4f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72eaa-7373-4ef1-bc22-38b473c4b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0ed-6eb3-4c51-a82b-725f6b5f4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5219DD-85BD-4239-9521-A39A22A4C3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A6121-74FC-4A39-BD60-4AC812D3182C}">
  <ds:schemaRefs>
    <ds:schemaRef ds:uri="http://schemas.microsoft.com/office/2006/metadata/properties"/>
    <ds:schemaRef ds:uri="http://schemas.microsoft.com/office/infopath/2007/PartnerControls"/>
    <ds:schemaRef ds:uri="5ac72eaa-7373-4ef1-bc22-38b473c4b253"/>
  </ds:schemaRefs>
</ds:datastoreItem>
</file>

<file path=customXml/itemProps3.xml><?xml version="1.0" encoding="utf-8"?>
<ds:datastoreItem xmlns:ds="http://schemas.openxmlformats.org/officeDocument/2006/customXml" ds:itemID="{A27409CF-1266-4B78-90CF-1260CB393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72eaa-7373-4ef1-bc22-38b473c4b253"/>
    <ds:schemaRef ds:uri="ae5290ed-6eb3-4c51-a82b-725f6b5f4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dc:description/>
  <cp:lastModifiedBy>Kopecký, Martin</cp:lastModifiedBy>
  <cp:revision>3</cp:revision>
  <dcterms:created xsi:type="dcterms:W3CDTF">2026-02-27T13:41:00Z</dcterms:created>
  <dcterms:modified xsi:type="dcterms:W3CDTF">2026-02-27T13:46:00Z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0x0101007744D565E436C04789580E29FB03480B</vt:lpwstr>
  </property>
</Properties>
</file>