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AC34" w14:textId="77777777" w:rsidR="00F06FBF" w:rsidRPr="00F06FBF" w:rsidRDefault="00F06FBF" w:rsidP="00F06FBF">
      <w:pPr>
        <w:spacing w:before="240" w:after="240" w:line="660" w:lineRule="atLeast"/>
        <w:outlineLvl w:val="0"/>
        <w:rPr>
          <w:rFonts w:ascii="Times New Roman" w:eastAsia="Times New Roman" w:hAnsi="Times New Roman" w:cs="Times New Roman"/>
          <w:b/>
          <w:bCs/>
          <w:color w:val="303030"/>
          <w:kern w:val="36"/>
          <w:sz w:val="28"/>
          <w:szCs w:val="28"/>
          <w:u w:val="single"/>
          <w:lang w:eastAsia="ru-RU"/>
        </w:rPr>
      </w:pPr>
      <w:r w:rsidRPr="00F06FBF">
        <w:rPr>
          <w:rFonts w:ascii="Times New Roman" w:eastAsia="Times New Roman" w:hAnsi="Times New Roman" w:cs="Times New Roman"/>
          <w:b/>
          <w:bCs/>
          <w:color w:val="303030"/>
          <w:kern w:val="36"/>
          <w:sz w:val="28"/>
          <w:szCs w:val="28"/>
          <w:u w:val="single"/>
          <w:lang w:eastAsia="ru-RU"/>
        </w:rPr>
        <w:t>Синтаксический разбор простого предложения</w:t>
      </w:r>
    </w:p>
    <w:p w14:paraId="751B10B1" w14:textId="77777777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Простое предложение разбирается по следующей схеме:</w:t>
      </w:r>
    </w:p>
    <w:p w14:paraId="2A5C5348" w14:textId="77777777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I. Подчеркнуть члены предложения.</w:t>
      </w:r>
    </w:p>
    <w:p w14:paraId="32F3CA19" w14:textId="5BF9C192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II. Указать тип сказуемого (сказуемых): ПГС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(простое глагольное сказуемое)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СГС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(составное глагольное сказуемое)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СИС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(составное именное сказуемое)</w:t>
      </w:r>
    </w:p>
    <w:p w14:paraId="4D9CEBDC" w14:textId="77777777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III. Сделать описательный разбор по следующей схеме:</w:t>
      </w:r>
    </w:p>
    <w:p w14:paraId="18113B67" w14:textId="77777777" w:rsidR="00F06FBF" w:rsidRPr="00F06FBF" w:rsidRDefault="00F06FBF" w:rsidP="00F06FBF">
      <w:pPr>
        <w:numPr>
          <w:ilvl w:val="0"/>
          <w:numId w:val="1"/>
        </w:numPr>
        <w:ind w:left="1170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По цели высказывания: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повествовательное,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вопросительное,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побудительное.</w:t>
      </w:r>
    </w:p>
    <w:p w14:paraId="6820A825" w14:textId="77777777" w:rsidR="00F06FBF" w:rsidRPr="00F06FBF" w:rsidRDefault="00F06FBF" w:rsidP="00F06FBF">
      <w:pPr>
        <w:numPr>
          <w:ilvl w:val="0"/>
          <w:numId w:val="1"/>
        </w:numPr>
        <w:ind w:left="1170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По интонации: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невосклицательное,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восклицательное.</w:t>
      </w:r>
    </w:p>
    <w:p w14:paraId="47DF8974" w14:textId="77777777" w:rsidR="00F06FBF" w:rsidRPr="00F06FBF" w:rsidRDefault="00F06FBF" w:rsidP="00F06FBF">
      <w:pPr>
        <w:numPr>
          <w:ilvl w:val="0"/>
          <w:numId w:val="1"/>
        </w:numPr>
        <w:ind w:left="1170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По количеству грамматических основ — простое,</w:t>
      </w:r>
    </w:p>
    <w:p w14:paraId="65A90433" w14:textId="31DD9267" w:rsidR="00F06FBF" w:rsidRPr="00F06FBF" w:rsidRDefault="00F06FBF" w:rsidP="00F06FBF">
      <w:pPr>
        <w:numPr>
          <w:ilvl w:val="0"/>
          <w:numId w:val="1"/>
        </w:numPr>
        <w:ind w:left="1170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По наличию одного или обоих главных членов: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1) двусоставное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– предложение содержит два главных члена, подлежащее и сказуемое (</w:t>
      </w:r>
      <w:r w:rsidR="00140BFB" w:rsidRPr="00140BFB">
        <w:rPr>
          <w:rFonts w:ascii="Times New Roman" w:eastAsia="Times New Roman" w:hAnsi="Times New Roman" w:cs="Times New Roman"/>
          <w:i/>
          <w:iCs/>
          <w:color w:val="303030"/>
          <w:spacing w:val="-5"/>
          <w:lang w:val="ru-RU" w:eastAsia="ru-RU"/>
        </w:rPr>
        <w:t>Мальчик сделал домашнюю работу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>)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2) односоставное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– предложение содержит только один главный член, подлежащее или сказуемое (</w:t>
      </w:r>
      <w:r w:rsidR="00140BFB" w:rsidRPr="00140BFB">
        <w:rPr>
          <w:rFonts w:ascii="Times New Roman" w:eastAsia="Times New Roman" w:hAnsi="Times New Roman" w:cs="Times New Roman"/>
          <w:i/>
          <w:iCs/>
          <w:color w:val="303030"/>
          <w:spacing w:val="-5"/>
          <w:lang w:val="ru-RU" w:eastAsia="ru-RU"/>
        </w:rPr>
        <w:t>Пойдем домой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>)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. С главным членом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          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а) подлежащим — назывное;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          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б)  сказуемым: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             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— определенно-личное,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             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— неопределенно-личное,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             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— обобщенно-личное,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             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— безличное.</w:t>
      </w:r>
    </w:p>
    <w:p w14:paraId="2013094C" w14:textId="69FAEC93" w:rsidR="00F06FBF" w:rsidRPr="00F06FBF" w:rsidRDefault="00F06FBF" w:rsidP="00F06FBF">
      <w:pPr>
        <w:numPr>
          <w:ilvl w:val="0"/>
          <w:numId w:val="1"/>
        </w:numPr>
        <w:ind w:left="1170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По наличию второстепенных членов: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распространенное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– состоит из главных и второстепенных членов (</w:t>
      </w:r>
      <w:r w:rsidR="00140BFB" w:rsidRPr="00140BFB">
        <w:rPr>
          <w:rFonts w:ascii="Times New Roman" w:eastAsia="Times New Roman" w:hAnsi="Times New Roman" w:cs="Times New Roman"/>
          <w:i/>
          <w:iCs/>
          <w:color w:val="303030"/>
          <w:spacing w:val="-5"/>
          <w:lang w:val="ru-RU" w:eastAsia="ru-RU"/>
        </w:rPr>
        <w:t>Он пришел в уютное кафе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>)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нераспространенное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– содержит лишь грамматическую основу (</w:t>
      </w:r>
      <w:r w:rsidR="00140BFB" w:rsidRPr="00140BFB">
        <w:rPr>
          <w:rFonts w:ascii="Times New Roman" w:eastAsia="Times New Roman" w:hAnsi="Times New Roman" w:cs="Times New Roman"/>
          <w:i/>
          <w:iCs/>
          <w:color w:val="303030"/>
          <w:spacing w:val="-5"/>
          <w:lang w:val="ru-RU" w:eastAsia="ru-RU"/>
        </w:rPr>
        <w:t>Он пришел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>)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.</w:t>
      </w:r>
    </w:p>
    <w:p w14:paraId="15586A40" w14:textId="50F8A234" w:rsidR="00F06FBF" w:rsidRPr="00F06FBF" w:rsidRDefault="00F06FBF" w:rsidP="00F06FBF">
      <w:pPr>
        <w:numPr>
          <w:ilvl w:val="0"/>
          <w:numId w:val="1"/>
        </w:numPr>
        <w:ind w:left="1170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По наличию пропущенных членов: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полное</w:t>
      </w:r>
      <w:r w:rsidR="00140BFB" w:rsidRP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>– на месте все члены, которые нужны для понимания его смысла (</w:t>
      </w:r>
      <w:r w:rsidR="00140BFB" w:rsidRPr="00140BFB">
        <w:rPr>
          <w:rFonts w:ascii="Times New Roman" w:eastAsia="Times New Roman" w:hAnsi="Times New Roman" w:cs="Times New Roman"/>
          <w:i/>
          <w:iCs/>
          <w:color w:val="303030"/>
          <w:spacing w:val="-5"/>
          <w:lang w:val="ru-RU" w:eastAsia="ru-RU"/>
        </w:rPr>
        <w:t>Я буду есть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>)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неполное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– есть пропущенные члены, которые необходимы для полноты строения (</w:t>
      </w:r>
      <w:r w:rsidR="00140BFB" w:rsidRPr="00140BFB">
        <w:rPr>
          <w:rFonts w:ascii="Times New Roman" w:eastAsia="Times New Roman" w:hAnsi="Times New Roman" w:cs="Times New Roman"/>
          <w:i/>
          <w:iCs/>
          <w:color w:val="303030"/>
          <w:spacing w:val="-5"/>
          <w:lang w:val="ru-RU" w:eastAsia="ru-RU"/>
        </w:rPr>
        <w:t>я – плавать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) 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(указать, какой член / члены предложения пропущен / пропущены).</w:t>
      </w:r>
    </w:p>
    <w:p w14:paraId="7BF0D138" w14:textId="1181A607" w:rsidR="00F06FBF" w:rsidRPr="00F06FBF" w:rsidRDefault="00F06FBF" w:rsidP="00F06FBF">
      <w:pPr>
        <w:numPr>
          <w:ilvl w:val="0"/>
          <w:numId w:val="1"/>
        </w:numPr>
        <w:ind w:left="1170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По наличию осложняющих членов: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1) неосложненное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– не содержит осложненные члены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2) осложненное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– есть обращения, вводные слова, прямая речь, дополнения, причастные или деепричастные обороты, вводные конструкции, однородные члены (</w:t>
      </w:r>
      <w:r w:rsidR="00140BFB" w:rsidRPr="00140BFB">
        <w:rPr>
          <w:rFonts w:ascii="Times New Roman" w:eastAsia="Times New Roman" w:hAnsi="Times New Roman" w:cs="Times New Roman"/>
          <w:i/>
          <w:iCs/>
          <w:color w:val="303030"/>
          <w:spacing w:val="-5"/>
          <w:lang w:val="ru-RU" w:eastAsia="ru-RU"/>
        </w:rPr>
        <w:t>Катя, иди делать уроки</w:t>
      </w:r>
      <w:r w:rsidR="00140BFB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>)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: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однородными членами предложения;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обособленными членами предложения;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вводными словами, вводными и вставными конструкциями,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lastRenderedPageBreak/>
        <w:t>— прямой речью;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обращением.</w:t>
      </w:r>
    </w:p>
    <w:p w14:paraId="6E240C57" w14:textId="77777777" w:rsidR="00140BFB" w:rsidRDefault="00140BFB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</w:pPr>
    </w:p>
    <w:p w14:paraId="26516E5B" w14:textId="168457AC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b/>
          <w:bCs/>
          <w:color w:val="303030"/>
          <w:spacing w:val="-5"/>
          <w:lang w:eastAsia="ru-RU"/>
        </w:rPr>
        <w:t>Образец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 </w:t>
      </w:r>
      <w:r w:rsidRPr="00F06FBF">
        <w:rPr>
          <w:rFonts w:ascii="Times New Roman" w:eastAsia="Times New Roman" w:hAnsi="Times New Roman" w:cs="Times New Roman"/>
          <w:b/>
          <w:bCs/>
          <w:color w:val="303030"/>
          <w:spacing w:val="-5"/>
          <w:lang w:eastAsia="ru-RU"/>
        </w:rPr>
        <w:t>синтаксического разбора простого предложения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:</w:t>
      </w:r>
    </w:p>
    <w:p w14:paraId="47BA9B95" w14:textId="31D4DD86" w:rsidR="009B652D" w:rsidRPr="007E6B23" w:rsidRDefault="009B652D" w:rsidP="00F06FBF">
      <w:pPr>
        <w:spacing w:after="100" w:afterAutospacing="1"/>
        <w:rPr>
          <w:rFonts w:ascii="Times New Roman" w:eastAsia="Times New Roman" w:hAnsi="Times New Roman" w:cs="Times New Roman"/>
          <w:i/>
          <w:iCs/>
          <w:color w:val="303030"/>
          <w:spacing w:val="-5"/>
          <w:u w:val="single"/>
          <w:lang w:val="ru-RU" w:eastAsia="ru-RU"/>
        </w:rPr>
      </w:pPr>
      <w:r w:rsidRPr="007E6B23">
        <w:rPr>
          <w:rFonts w:ascii="Times New Roman" w:eastAsia="Times New Roman" w:hAnsi="Times New Roman" w:cs="Times New Roman"/>
          <w:noProof/>
          <w:color w:val="303030"/>
          <w:spacing w:val="-5"/>
          <w:lang w:eastAsia="ru-RU"/>
        </w:rPr>
        <w:drawing>
          <wp:inline distT="0" distB="0" distL="0" distR="0" wp14:anchorId="4E432323" wp14:editId="0D0178EE">
            <wp:extent cx="5727700" cy="1019810"/>
            <wp:effectExtent l="0" t="0" r="0" b="0"/>
            <wp:docPr id="1011502460" name="Рисунок 1" descr="Изображение выглядит как текст, Шрифт, чек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02460" name="Рисунок 1" descr="Изображение выглядит как текст, Шрифт, чек, снимок экра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CC2B1" w14:textId="32BAEA48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1) повествовательное;</w:t>
      </w:r>
    </w:p>
    <w:p w14:paraId="4A05C396" w14:textId="77777777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2) невосклицательное;</w:t>
      </w:r>
    </w:p>
    <w:p w14:paraId="5A2D2FAD" w14:textId="2EBBB4CA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3) простое;</w:t>
      </w:r>
    </w:p>
    <w:p w14:paraId="128AE60E" w14:textId="77777777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4) двусоставное. Подлежащее — </w:t>
      </w:r>
      <w:r w:rsidRPr="00F06FBF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швейцар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. Сказуемые — </w:t>
      </w:r>
      <w:r w:rsidRPr="00F06FBF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затоптал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 (ПГС), </w:t>
      </w:r>
      <w:r w:rsidRPr="00F06FBF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двинулся было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 (ПГС), </w:t>
      </w:r>
      <w:r w:rsidRPr="00F06FBF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не сделал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 (ПГС), </w:t>
      </w:r>
      <w:r w:rsidRPr="00F06FBF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остановился</w:t>
      </w: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 (ПГС);</w:t>
      </w:r>
    </w:p>
    <w:p w14:paraId="75A85145" w14:textId="77777777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5) распространенное;</w:t>
      </w:r>
    </w:p>
    <w:p w14:paraId="5542A805" w14:textId="77777777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6) полное;</w:t>
      </w:r>
    </w:p>
    <w:p w14:paraId="7934AD7E" w14:textId="77777777" w:rsidR="00F06FBF" w:rsidRPr="00F06FBF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7) осложнено однородными сказуемыми, обособленным определением, выраженным причастным оборотом, и обособленным обстоятельством, выраженным деепричастным оборотом.</w:t>
      </w:r>
    </w:p>
    <w:p w14:paraId="6DAE460B" w14:textId="77777777" w:rsidR="00F06FBF" w:rsidRPr="00F06FBF" w:rsidRDefault="00F06FBF" w:rsidP="00F06FBF">
      <w:pPr>
        <w:spacing w:before="36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303030"/>
          <w:lang w:eastAsia="ru-RU"/>
        </w:rPr>
      </w:pPr>
      <w:r w:rsidRPr="00F06FBF">
        <w:rPr>
          <w:rFonts w:ascii="Times New Roman" w:eastAsia="Times New Roman" w:hAnsi="Times New Roman" w:cs="Times New Roman"/>
          <w:b/>
          <w:bCs/>
          <w:color w:val="303030"/>
          <w:lang w:eastAsia="ru-RU"/>
        </w:rPr>
        <w:t>Способы подчеркивания членов предложения</w:t>
      </w:r>
    </w:p>
    <w:p w14:paraId="51C1F6FA" w14:textId="77777777" w:rsidR="00F06FBF" w:rsidRPr="007E6B23" w:rsidRDefault="00F06FBF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</w:pPr>
      <w:r w:rsidRPr="00F06FBF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При разборе предложения по членам используются стандартные подчеркивания: одна черта для подлежащего, две черты для сказуемого, пунктирная линия для дополнения, волнистая линия для определения, чередование точек и тире для обстоятельства.</w:t>
      </w:r>
    </w:p>
    <w:p w14:paraId="426D2179" w14:textId="485489CC" w:rsidR="009B652D" w:rsidRPr="007E6B23" w:rsidRDefault="007E6B23" w:rsidP="00F06FBF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</w:pPr>
      <w:r w:rsidRPr="007E6B23">
        <w:rPr>
          <w:rFonts w:ascii="Times New Roman" w:eastAsia="Times New Roman" w:hAnsi="Times New Roman" w:cs="Times New Roman"/>
          <w:noProof/>
          <w:color w:val="303030"/>
          <w:spacing w:val="-5"/>
          <w:lang w:val="ru-RU" w:eastAsia="ru-RU"/>
        </w:rPr>
        <w:drawing>
          <wp:inline distT="0" distB="0" distL="0" distR="0" wp14:anchorId="6E3740FB" wp14:editId="0164B2C6">
            <wp:extent cx="2653259" cy="1537831"/>
            <wp:effectExtent l="0" t="0" r="1270" b="0"/>
            <wp:docPr id="1582810493" name="Рисунок 2" descr="Изображение выглядит как текст, снимок экрана, Шрифт, че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10493" name="Рисунок 2" descr="Изображение выглядит как текст, снимок экрана, Шрифт, чек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673" cy="156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B7ED3" w14:textId="5D5ECE01" w:rsidR="00F06FBF" w:rsidRPr="007E6B23" w:rsidRDefault="007E6B23">
      <w:pPr>
        <w:rPr>
          <w:rFonts w:ascii="Times New Roman" w:eastAsia="Times New Roman" w:hAnsi="Times New Roman" w:cs="Times New Roman"/>
          <w:color w:val="303030"/>
          <w:lang w:val="ru-RU" w:eastAsia="ru-RU"/>
        </w:rPr>
      </w:pPr>
      <w:r w:rsidRPr="007E6B23">
        <w:rPr>
          <w:rFonts w:ascii="Times New Roman" w:eastAsia="Times New Roman" w:hAnsi="Times New Roman" w:cs="Times New Roman"/>
          <w:color w:val="303030"/>
          <w:lang w:val="ru-RU" w:eastAsia="ru-RU"/>
        </w:rPr>
        <w:t xml:space="preserve">Более подробная информация: </w:t>
      </w:r>
      <w:hyperlink r:id="rId7" w:history="1">
        <w:r w:rsidRPr="007E6B23">
          <w:rPr>
            <w:rStyle w:val="ad"/>
            <w:rFonts w:ascii="Times New Roman" w:eastAsia="Times New Roman" w:hAnsi="Times New Roman" w:cs="Times New Roman"/>
            <w:lang w:val="ru-RU" w:eastAsia="ru-RU"/>
          </w:rPr>
          <w:t>https://gramota.ru/biblioteka/spravochniki/russkij-yazyk-kratkij-teoreticheskij-kurs-dlya-shkolnikov/sintaksicheskiy-razbor-prostogo-predlozheniya</w:t>
        </w:r>
      </w:hyperlink>
    </w:p>
    <w:p w14:paraId="41006E2F" w14:textId="77777777" w:rsidR="007E6B23" w:rsidRPr="007E6B23" w:rsidRDefault="007E6B23">
      <w:pPr>
        <w:rPr>
          <w:rFonts w:ascii="Times New Roman" w:eastAsia="Times New Roman" w:hAnsi="Times New Roman" w:cs="Times New Roman"/>
          <w:b/>
          <w:bCs/>
          <w:color w:val="303030"/>
          <w:lang w:val="ru-RU" w:eastAsia="ru-RU"/>
        </w:rPr>
      </w:pPr>
    </w:p>
    <w:p w14:paraId="3FBBEABD" w14:textId="77777777" w:rsidR="007E6B23" w:rsidRPr="007E6B23" w:rsidRDefault="007E6B23" w:rsidP="007E6B23">
      <w:pPr>
        <w:spacing w:before="240" w:after="240" w:line="660" w:lineRule="atLeast"/>
        <w:outlineLvl w:val="0"/>
        <w:rPr>
          <w:rFonts w:ascii="Times New Roman" w:eastAsia="Times New Roman" w:hAnsi="Times New Roman" w:cs="Times New Roman"/>
          <w:b/>
          <w:bCs/>
          <w:color w:val="303030"/>
          <w:kern w:val="36"/>
          <w:sz w:val="28"/>
          <w:szCs w:val="28"/>
          <w:u w:val="single"/>
          <w:lang w:eastAsia="ru-RU"/>
        </w:rPr>
      </w:pPr>
      <w:r w:rsidRPr="007E6B23">
        <w:rPr>
          <w:rFonts w:ascii="Times New Roman" w:eastAsia="Times New Roman" w:hAnsi="Times New Roman" w:cs="Times New Roman"/>
          <w:b/>
          <w:bCs/>
          <w:color w:val="303030"/>
          <w:kern w:val="36"/>
          <w:sz w:val="28"/>
          <w:szCs w:val="28"/>
          <w:u w:val="single"/>
          <w:lang w:eastAsia="ru-RU"/>
        </w:rPr>
        <w:lastRenderedPageBreak/>
        <w:t>Синтаксический разбор сложного предложения</w:t>
      </w:r>
    </w:p>
    <w:p w14:paraId="27292EE0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I. Разобрать предложение по членам.</w:t>
      </w:r>
    </w:p>
    <w:p w14:paraId="71F81586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II. Разделить предложение на части, пронумеровать части по порядку.</w:t>
      </w:r>
    </w:p>
    <w:p w14:paraId="555EA0D3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III. Составить схему предложения с указанием средств связи и типов придаточных.</w:t>
      </w:r>
    </w:p>
    <w:p w14:paraId="2A4CB51E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IV. Описать отношения между придаточными: последовательное, параллельное, однородное подчинение.</w:t>
      </w:r>
    </w:p>
    <w:p w14:paraId="5BCCFA0B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V. Сделать описательный разбор по следующей схеме:</w:t>
      </w:r>
    </w:p>
    <w:p w14:paraId="61A15009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1. По цели высказывания: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повествовательное,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вопросительное,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побудительное.</w:t>
      </w:r>
    </w:p>
    <w:p w14:paraId="04885386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2. По интонации: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невосклицательное,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восклицательное.</w:t>
      </w:r>
    </w:p>
    <w:p w14:paraId="7CF8DE85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3. По количеству грамматических основ:</w:t>
      </w:r>
    </w:p>
    <w:p w14:paraId="727D7FE9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1) простое,</w:t>
      </w:r>
    </w:p>
    <w:p w14:paraId="53A1078D" w14:textId="148B82F6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2) сложное: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сложносочиненное</w:t>
      </w:r>
      <w:r w:rsidR="00F15AD5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– </w:t>
      </w:r>
      <w:r w:rsidR="00F15AD5" w:rsidRPr="00F15AD5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предложение, в котором части равноправны по смыслу, связаны интонационно и </w:t>
      </w:r>
      <w:r w:rsidR="00F15AD5" w:rsidRPr="00F15AD5">
        <w:rPr>
          <w:rFonts w:ascii="Times New Roman" w:eastAsia="Times New Roman" w:hAnsi="Times New Roman" w:cs="Times New Roman"/>
          <w:b/>
          <w:bCs/>
          <w:color w:val="303030"/>
          <w:spacing w:val="-5"/>
          <w:lang w:eastAsia="ru-RU"/>
        </w:rPr>
        <w:t>сочинительными союзами</w:t>
      </w:r>
      <w:r w:rsidR="00F15AD5" w:rsidRPr="00F15AD5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 (</w:t>
      </w:r>
      <w:r w:rsidR="00F15AD5" w:rsidRPr="00F15AD5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а, но, да, и</w:t>
      </w:r>
      <w:r w:rsidR="00F15AD5" w:rsidRPr="00F15AD5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)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сложноподчиненное</w:t>
      </w:r>
      <w:r w:rsidR="00F15AD5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– </w:t>
      </w:r>
      <w:r w:rsidR="00F15AD5" w:rsidRPr="00F15AD5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предложение, в котором одна из частей по смыслу зависит от другой (подчиняется ей). То есть от одной части предложения можно задать вопрос к другой.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бессоюзное</w:t>
      </w:r>
      <w:r w:rsidR="00F15AD5">
        <w:rPr>
          <w:rFonts w:ascii="Times New Roman" w:eastAsia="Times New Roman" w:hAnsi="Times New Roman" w:cs="Times New Roman"/>
          <w:color w:val="303030"/>
          <w:spacing w:val="-5"/>
          <w:lang w:val="ru-RU" w:eastAsia="ru-RU"/>
        </w:rPr>
        <w:t xml:space="preserve"> – </w:t>
      </w:r>
      <w:r w:rsidR="00F15AD5" w:rsidRPr="00F15AD5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</w:t>
      </w:r>
      <w:r w:rsidR="00F15AD5" w:rsidRPr="00F15AD5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редложение, части которого связаны только интонацией, без союзов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с разными видами связи.</w:t>
      </w:r>
    </w:p>
    <w:p w14:paraId="63AB9A71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Для сложного предложения далее характеризуется каждая часть:</w:t>
      </w:r>
    </w:p>
    <w:p w14:paraId="4950C24F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4. По наличию одного или обоих главных членов:</w:t>
      </w:r>
    </w:p>
    <w:p w14:paraId="3A3B21B3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1) двусоставное.</w:t>
      </w:r>
    </w:p>
    <w:p w14:paraId="09889112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2) односоставное. С главным членом</w:t>
      </w:r>
    </w:p>
    <w:p w14:paraId="57320620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а) подлежащим — назывное;</w:t>
      </w:r>
    </w:p>
    <w:p w14:paraId="3521E85F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б) сказуемым: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 определенно-личное,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неопределенно-личное,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lastRenderedPageBreak/>
        <w:t>— обобщенно-личное,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безличное.</w:t>
      </w:r>
    </w:p>
    <w:p w14:paraId="70DC49D1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5. По наличию второстепенных членов: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распространенное,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нераспространенное.</w:t>
      </w:r>
    </w:p>
    <w:p w14:paraId="4E08D7CD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6. По наличию пропущенных членов: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полное,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неполное (указать, какой член / члены предложения пропущен).</w:t>
      </w:r>
    </w:p>
    <w:p w14:paraId="444BBD7F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7. По наличию осложняющих членов:</w:t>
      </w:r>
    </w:p>
    <w:p w14:paraId="28B18BCD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1) неосложненное,</w:t>
      </w:r>
    </w:p>
    <w:p w14:paraId="3E4D0912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2) осложненное: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однородными членами предложения (указать какими);— обособленными второстепенными членами предложения — определениями (в том числе и приложениями), дополнениями, обстоятельствами (выраженными причастным, деепричастным, сравнительным и др. оборотами);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вводными словами, вводными и вставными конструкциями,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прямой речью;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br/>
        <w:t>— обращением.</w:t>
      </w:r>
    </w:p>
    <w:p w14:paraId="2C61C9F6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При осложненности предложения прямой речью или вставным предложением они рассматриваются и описываются как самостоятельное предложение.</w:t>
      </w:r>
    </w:p>
    <w:p w14:paraId="3E8DB4B7" w14:textId="1DEB74A9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b/>
          <w:bCs/>
          <w:color w:val="303030"/>
          <w:spacing w:val="-5"/>
          <w:lang w:val="ru-RU" w:eastAsia="ru-RU"/>
        </w:rPr>
      </w:pPr>
      <w:r w:rsidRPr="007E6B23">
        <w:rPr>
          <w:rFonts w:ascii="Times New Roman" w:eastAsia="Times New Roman" w:hAnsi="Times New Roman" w:cs="Times New Roman"/>
          <w:b/>
          <w:bCs/>
          <w:color w:val="303030"/>
          <w:spacing w:val="-5"/>
          <w:lang w:eastAsia="ru-RU"/>
        </w:rPr>
        <w:t>Образец синтаксического разбора</w:t>
      </w:r>
      <w:r w:rsidR="00F15AD5">
        <w:rPr>
          <w:rFonts w:ascii="Times New Roman" w:eastAsia="Times New Roman" w:hAnsi="Times New Roman" w:cs="Times New Roman"/>
          <w:b/>
          <w:bCs/>
          <w:color w:val="303030"/>
          <w:spacing w:val="-5"/>
          <w:lang w:val="ru-RU" w:eastAsia="ru-RU"/>
        </w:rPr>
        <w:t xml:space="preserve"> сложного предложения</w:t>
      </w:r>
    </w:p>
    <w:p w14:paraId="7AFC780C" w14:textId="672F75D4" w:rsid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i/>
          <w:iCs/>
          <w:color w:val="303030"/>
          <w:spacing w:val="-5"/>
          <w:lang w:val="ru-RU"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303030"/>
          <w:spacing w:val="-5"/>
          <w:lang w:val="ru-RU" w:eastAsia="ru-RU"/>
        </w:rPr>
        <w:drawing>
          <wp:inline distT="0" distB="0" distL="0" distR="0" wp14:anchorId="101B6B67" wp14:editId="0D9AA97C">
            <wp:extent cx="5727700" cy="1242060"/>
            <wp:effectExtent l="0" t="0" r="0" b="2540"/>
            <wp:docPr id="203216655" name="Рисунок 8" descr="Изображение выглядит как текст, чек, Шрифт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16655" name="Рисунок 8" descr="Изображение выглядит как текст, чек, Шрифт, снимок экра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A166B" w14:textId="2A8CEA12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Предложение повествовательное, невосклицательное, сложное, с разными видами связи.</w:t>
      </w:r>
    </w:p>
    <w:p w14:paraId="1BDAFC5C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1 часть: двусоставное (подлежащее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шкап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сказуемое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был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ПГС), распространенное, полное, осложнено однородными обстоятельствами;</w:t>
      </w:r>
    </w:p>
    <w:p w14:paraId="3B102812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2 часть: двусоставное (подлежащее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сырость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сказуемое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была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ПГС), распространенное, полное, неосложненное;</w:t>
      </w:r>
    </w:p>
    <w:p w14:paraId="75DDFB6D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3 часть: односоставное — неопределенно-личное (сказуемое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открывали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ПГС), распространенное, полное, неосложненное;</w:t>
      </w:r>
    </w:p>
    <w:p w14:paraId="600369F9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4 часть: односоставное — безличное (сказуемое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невозможно было сказать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 xml:space="preserve">), нераспространенное, полное, неосложненное; (другой вариант разбора: двусоставное, 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lastRenderedPageBreak/>
        <w:t>неполное — место подлежащего занято придаточным изъяснительным, нераспространенное, неосложненное);</w:t>
      </w:r>
    </w:p>
    <w:p w14:paraId="7E056C84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5 часть: двусоставное (подлежащее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ель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сказуемое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кончается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ПГС), распространенное, полное, неосложненное;</w:t>
      </w:r>
    </w:p>
    <w:p w14:paraId="3120F5D8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6 часть: двусоставное (подлежащее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ель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опущено, сказуемое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начинается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ПГС), распространенное, неполное (опущено подлежащее), неосложненное;</w:t>
      </w:r>
    </w:p>
    <w:p w14:paraId="58843CE7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7 часть: двусоставное (подлежащее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мальчик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сказуемое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стоял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ПГС), распространенное, полное, неосложненное;</w:t>
      </w:r>
    </w:p>
    <w:p w14:paraId="64215729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8 часть: двусоставное (подлежащее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 тома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сказуемое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были</w:t>
      </w: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, ПГС, опущено), распространенное, неполное (опущено сказуемое), неосложненное.</w:t>
      </w:r>
    </w:p>
    <w:p w14:paraId="23C3F67B" w14:textId="77777777" w:rsidR="007E6B23" w:rsidRPr="007E6B23" w:rsidRDefault="007E6B23" w:rsidP="007E6B23">
      <w:pPr>
        <w:spacing w:before="36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303030"/>
          <w:lang w:eastAsia="ru-RU"/>
        </w:rPr>
      </w:pPr>
      <w:r w:rsidRPr="007E6B23">
        <w:rPr>
          <w:rFonts w:ascii="Times New Roman" w:eastAsia="Times New Roman" w:hAnsi="Times New Roman" w:cs="Times New Roman"/>
          <w:b/>
          <w:bCs/>
          <w:color w:val="303030"/>
          <w:lang w:eastAsia="ru-RU"/>
        </w:rPr>
        <w:t>Построение схемы предложения</w:t>
      </w:r>
    </w:p>
    <w:p w14:paraId="2FD38196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При синтаксическом разборе предложения предполагается построение схемы предложения.</w:t>
      </w:r>
    </w:p>
    <w:p w14:paraId="34206B2F" w14:textId="22C82759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Я пожалел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vertAlign w:val="superscript"/>
          <w:lang w:eastAsia="ru-RU"/>
        </w:rPr>
        <w:t>1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/, что я не художник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vertAlign w:val="superscript"/>
          <w:lang w:eastAsia="ru-RU"/>
        </w:rPr>
        <w:t>2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/, который может отобразить всю прелесть этого весеннего утра 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vertAlign w:val="superscript"/>
          <w:lang w:eastAsia="ru-RU"/>
        </w:rPr>
        <w:t>3</w:t>
      </w:r>
      <w:r w:rsidRPr="007E6B23">
        <w:rPr>
          <w:rFonts w:ascii="Times New Roman" w:eastAsia="Times New Roman" w:hAnsi="Times New Roman" w:cs="Times New Roman"/>
          <w:i/>
          <w:iCs/>
          <w:color w:val="303030"/>
          <w:spacing w:val="-5"/>
          <w:lang w:eastAsia="ru-RU"/>
        </w:rPr>
        <w:t>/.</w:t>
      </w:r>
    </w:p>
    <w:p w14:paraId="5ABCAE2F" w14:textId="77777777" w:rsidR="007E6B23" w:rsidRPr="007E6B23" w:rsidRDefault="007E6B23" w:rsidP="007E6B23">
      <w:pPr>
        <w:spacing w:after="100" w:afterAutospacing="1"/>
        <w:rPr>
          <w:rFonts w:ascii="Times New Roman" w:eastAsia="Times New Roman" w:hAnsi="Times New Roman" w:cs="Times New Roman"/>
          <w:color w:val="303030"/>
          <w:spacing w:val="-5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spacing w:val="-5"/>
          <w:lang w:eastAsia="ru-RU"/>
        </w:rPr>
        <w:t>Линейная схема:</w:t>
      </w:r>
    </w:p>
    <w:p w14:paraId="13731F30" w14:textId="6B1F1B83" w:rsidR="007E6B23" w:rsidRPr="007E6B23" w:rsidRDefault="007E6B23" w:rsidP="007E6B23">
      <w:pPr>
        <w:rPr>
          <w:rFonts w:ascii="Times New Roman" w:eastAsia="Times New Roman" w:hAnsi="Times New Roman" w:cs="Times New Roman"/>
          <w:color w:val="303030"/>
          <w:lang w:eastAsia="ru-RU"/>
        </w:rPr>
      </w:pPr>
      <w:r w:rsidRPr="007E6B23">
        <w:rPr>
          <w:rFonts w:ascii="Times New Roman" w:eastAsia="Times New Roman" w:hAnsi="Times New Roman" w:cs="Times New Roman"/>
          <w:color w:val="303030"/>
          <w:lang w:eastAsia="ru-RU"/>
        </w:rPr>
        <w:fldChar w:fldCharType="begin"/>
      </w:r>
      <w:r w:rsidRPr="007E6B23">
        <w:rPr>
          <w:rFonts w:ascii="Times New Roman" w:eastAsia="Times New Roman" w:hAnsi="Times New Roman" w:cs="Times New Roman"/>
          <w:color w:val="303030"/>
          <w:lang w:eastAsia="ru-RU"/>
        </w:rPr>
        <w:instrText xml:space="preserve"> INCLUDEPICTURE "/Users/user/Library/Group Containers/UBF8T346G9.ms/WebArchiveCopyPasteTempFiles/com.microsoft.Word/eaf7ae08-e8cc-4963-8f51-9cc783a49d54.jpg" \* MERGEFORMATINET </w:instrText>
      </w:r>
      <w:r w:rsidRPr="007E6B23">
        <w:rPr>
          <w:rFonts w:ascii="Times New Roman" w:eastAsia="Times New Roman" w:hAnsi="Times New Roman" w:cs="Times New Roman"/>
          <w:color w:val="303030"/>
          <w:lang w:eastAsia="ru-RU"/>
        </w:rPr>
        <w:fldChar w:fldCharType="separate"/>
      </w:r>
      <w:r w:rsidRPr="007E6B23">
        <w:rPr>
          <w:rFonts w:ascii="Times New Roman" w:eastAsia="Times New Roman" w:hAnsi="Times New Roman" w:cs="Times New Roman"/>
          <w:noProof/>
          <w:color w:val="303030"/>
          <w:lang w:eastAsia="ru-RU"/>
        </w:rPr>
        <w:drawing>
          <wp:inline distT="0" distB="0" distL="0" distR="0" wp14:anchorId="30B2430B" wp14:editId="40BFDDE8">
            <wp:extent cx="5727700" cy="1045845"/>
            <wp:effectExtent l="0" t="0" r="0" b="0"/>
            <wp:docPr id="597830053" name="Рисунок 6" descr="Изображение выглядит как текст, снимок экрана, Шрифт, линия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830053" name="Рисунок 6" descr="Изображение выглядит как текст, снимок экрана, Шрифт, линия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B23">
        <w:rPr>
          <w:rFonts w:ascii="Times New Roman" w:eastAsia="Times New Roman" w:hAnsi="Times New Roman" w:cs="Times New Roman"/>
          <w:color w:val="303030"/>
          <w:lang w:eastAsia="ru-RU"/>
        </w:rPr>
        <w:fldChar w:fldCharType="end"/>
      </w:r>
    </w:p>
    <w:p w14:paraId="4CDF93C0" w14:textId="77777777" w:rsidR="007E6B23" w:rsidRDefault="007E6B23">
      <w:pPr>
        <w:rPr>
          <w:rFonts w:ascii="Times New Roman" w:hAnsi="Times New Roman" w:cs="Times New Roman"/>
          <w:lang w:val="ru-RU"/>
        </w:rPr>
      </w:pPr>
    </w:p>
    <w:p w14:paraId="03609BE5" w14:textId="5037D975" w:rsidR="007E6B23" w:rsidRPr="007E6B23" w:rsidRDefault="007E6B23">
      <w:pPr>
        <w:rPr>
          <w:rFonts w:ascii="Times New Roman" w:hAnsi="Times New Roman" w:cs="Times New Roman"/>
          <w:lang w:val="ru-RU"/>
        </w:rPr>
      </w:pPr>
      <w:r w:rsidRPr="007E6B23">
        <w:rPr>
          <w:rFonts w:ascii="Times New Roman" w:eastAsia="Times New Roman" w:hAnsi="Times New Roman" w:cs="Times New Roman"/>
          <w:color w:val="303030"/>
          <w:lang w:val="ru-RU" w:eastAsia="ru-RU"/>
        </w:rPr>
        <w:t xml:space="preserve">Более подробная информация: </w:t>
      </w:r>
      <w:hyperlink r:id="rId10" w:history="1">
        <w:r w:rsidR="00140BFB" w:rsidRPr="008F5226">
          <w:rPr>
            <w:rStyle w:val="ad"/>
            <w:rFonts w:ascii="Times New Roman" w:hAnsi="Times New Roman" w:cs="Times New Roman"/>
            <w:lang w:val="ru-RU"/>
          </w:rPr>
          <w:t>https://gramota.ru/biblioteka/spravochniki/russkij-yazyk-kratkij-teoreticheskij-kurs-dlya-shkolnikov/sintaksicheskiy-razbor-slozhnogo-predlozheniya</w:t>
        </w:r>
      </w:hyperlink>
      <w:r w:rsidR="00140BFB">
        <w:rPr>
          <w:rFonts w:ascii="Times New Roman" w:hAnsi="Times New Roman" w:cs="Times New Roman"/>
          <w:lang w:val="ru-RU"/>
        </w:rPr>
        <w:t xml:space="preserve"> </w:t>
      </w:r>
    </w:p>
    <w:sectPr w:rsidR="007E6B23" w:rsidRPr="007E6B23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F1DE7"/>
    <w:multiLevelType w:val="multilevel"/>
    <w:tmpl w:val="D7322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217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BF"/>
    <w:rsid w:val="00065885"/>
    <w:rsid w:val="000945B4"/>
    <w:rsid w:val="00140BFB"/>
    <w:rsid w:val="006954DC"/>
    <w:rsid w:val="007E6B23"/>
    <w:rsid w:val="00906832"/>
    <w:rsid w:val="009B652D"/>
    <w:rsid w:val="009F7E93"/>
    <w:rsid w:val="00F06FBF"/>
    <w:rsid w:val="00F1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4E62C8"/>
  <w15:chartTrackingRefBased/>
  <w15:docId w15:val="{86A09161-9A1A-6547-9F77-395EEA13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6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06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F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F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F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F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06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6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6F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6F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6F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6F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6F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6F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6F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6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F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6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6F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6F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6F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6F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6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6F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6FB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06F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-plaid-subject">
    <w:name w:val="a-plaid-subject"/>
    <w:basedOn w:val="a0"/>
    <w:rsid w:val="00F06FBF"/>
  </w:style>
  <w:style w:type="character" w:customStyle="1" w:styleId="a-plaid-definition">
    <w:name w:val="a-plaid-definition"/>
    <w:basedOn w:val="a0"/>
    <w:rsid w:val="00F06FBF"/>
  </w:style>
  <w:style w:type="character" w:customStyle="1" w:styleId="a-plaid-predicate">
    <w:name w:val="a-plaid-predicate"/>
    <w:basedOn w:val="a0"/>
    <w:rsid w:val="00F06FBF"/>
  </w:style>
  <w:style w:type="character" w:customStyle="1" w:styleId="a-plaid-addition">
    <w:name w:val="a-plaid-addition"/>
    <w:basedOn w:val="a0"/>
    <w:rsid w:val="00F06FBF"/>
  </w:style>
  <w:style w:type="character" w:customStyle="1" w:styleId="a-plaid-circumstance">
    <w:name w:val="a-plaid-circumstance"/>
    <w:basedOn w:val="a0"/>
    <w:rsid w:val="00F06FBF"/>
  </w:style>
  <w:style w:type="character" w:customStyle="1" w:styleId="apple-converted-space">
    <w:name w:val="apple-converted-space"/>
    <w:basedOn w:val="a0"/>
    <w:rsid w:val="00F06FBF"/>
  </w:style>
  <w:style w:type="character" w:styleId="ad">
    <w:name w:val="Hyperlink"/>
    <w:basedOn w:val="a0"/>
    <w:uiPriority w:val="99"/>
    <w:unhideWhenUsed/>
    <w:rsid w:val="007E6B23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E6B23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F15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gramota.ru/biblioteka/spravochniki/russkij-yazyk-kratkij-teoreticheskij-kurs-dlya-shkolnikov/sintaksicheskiy-razbor-prostogo-predlozheniy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gramota.ru/biblioteka/spravochniki/russkij-yazyk-kratkij-teoreticheskij-kurs-dlya-shkolnikov/sintaksicheskiy-razbor-slozhnogo-predlozheniy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2026-02-19T17:24:00Z</dcterms:created>
  <dcterms:modified xsi:type="dcterms:W3CDTF">2026-02-20T10:24:00Z</dcterms:modified>
</cp:coreProperties>
</file>