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C57E" w14:textId="77777777" w:rsidR="00AE4230" w:rsidRPr="004B706F" w:rsidRDefault="00AE4230" w:rsidP="00AE4230">
      <w:pPr>
        <w:rPr>
          <w:b/>
          <w:bCs/>
          <w:lang w:val="en-GB"/>
        </w:rPr>
      </w:pPr>
      <w:r w:rsidRPr="004B706F">
        <w:rPr>
          <w:b/>
          <w:bCs/>
          <w:lang w:val="en-GB"/>
        </w:rPr>
        <w:t>AR Week 4 – Note-taking</w:t>
      </w:r>
    </w:p>
    <w:p w14:paraId="35AC30D1" w14:textId="77777777" w:rsidR="00AE4230" w:rsidRPr="00D51202" w:rsidRDefault="00AE4230" w:rsidP="00AE4230">
      <w:pPr>
        <w:spacing w:after="160" w:line="278" w:lineRule="auto"/>
        <w:rPr>
          <w:b/>
          <w:bCs/>
          <w:lang w:val="en-GB"/>
        </w:rPr>
      </w:pPr>
      <w:r w:rsidRPr="00D51202">
        <w:rPr>
          <w:b/>
          <w:bCs/>
          <w:lang w:val="en-GB"/>
        </w:rPr>
        <w:t>Lesson focus: Active reading and critical engagement using INSERT</w:t>
      </w:r>
    </w:p>
    <w:p w14:paraId="1C36A002" w14:textId="7DF95AE2" w:rsidR="00AE4230" w:rsidRPr="00C64315" w:rsidRDefault="00AE4230" w:rsidP="00AE4230">
      <w:pPr>
        <w:spacing w:after="160" w:line="278" w:lineRule="auto"/>
        <w:rPr>
          <w:lang w:val="en-GB"/>
        </w:rPr>
      </w:pPr>
      <w:r w:rsidRPr="004B706F">
        <w:rPr>
          <w:b/>
          <w:bCs/>
          <w:lang w:val="en-GB"/>
        </w:rPr>
        <w:t xml:space="preserve">Part </w:t>
      </w:r>
      <w:r w:rsidRPr="00C64315">
        <w:rPr>
          <w:b/>
          <w:bCs/>
          <w:lang w:val="en-GB"/>
        </w:rPr>
        <w:t>1</w:t>
      </w:r>
      <w:r>
        <w:rPr>
          <w:b/>
          <w:bCs/>
          <w:lang w:val="en-GB"/>
        </w:rPr>
        <w:t xml:space="preserve">: </w:t>
      </w:r>
      <w:r w:rsidRPr="004B706F">
        <w:rPr>
          <w:b/>
          <w:bCs/>
          <w:lang w:val="en-GB"/>
        </w:rPr>
        <w:t xml:space="preserve">The </w:t>
      </w:r>
      <w:r w:rsidRPr="00C64315">
        <w:rPr>
          <w:b/>
          <w:bCs/>
          <w:lang w:val="en-GB"/>
        </w:rPr>
        <w:t>INSERT method</w:t>
      </w:r>
      <w:r w:rsidRPr="00C64315">
        <w:rPr>
          <w:lang w:val="en-GB"/>
        </w:rPr>
        <w:t xml:space="preserve"> (Interactive Notation System for Effective Reading and Thinking)</w:t>
      </w:r>
      <w:r w:rsidR="00597563">
        <w:rPr>
          <w:lang w:val="en-GB"/>
        </w:rPr>
        <w:t xml:space="preserve"> </w:t>
      </w:r>
      <w:r w:rsidRPr="004B706F">
        <w:rPr>
          <w:lang w:val="en-GB"/>
        </w:rPr>
        <w:t>is</w:t>
      </w:r>
      <w:r w:rsidRPr="00C64315">
        <w:rPr>
          <w:lang w:val="en-GB"/>
        </w:rPr>
        <w:t xml:space="preserve"> a simple system for active reading developed by Vaughn and Estes (1986):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4"/>
        <w:gridCol w:w="2841"/>
        <w:gridCol w:w="5065"/>
      </w:tblGrid>
      <w:tr w:rsidR="00AE4230" w:rsidRPr="00C64315" w14:paraId="4509B66C" w14:textId="77777777" w:rsidTr="002858A3">
        <w:trPr>
          <w:tblHeader/>
          <w:tblCellSpacing w:w="15" w:type="dxa"/>
        </w:trPr>
        <w:tc>
          <w:tcPr>
            <w:tcW w:w="0" w:type="auto"/>
            <w:vAlign w:val="center"/>
            <w:hideMark/>
          </w:tcPr>
          <w:p w14:paraId="76A523DF" w14:textId="77777777" w:rsidR="00AE4230" w:rsidRPr="00C64315" w:rsidRDefault="00AE4230" w:rsidP="002858A3">
            <w:pPr>
              <w:spacing w:after="160" w:line="278" w:lineRule="auto"/>
              <w:rPr>
                <w:b/>
                <w:bCs/>
                <w:lang w:val="en-GB"/>
              </w:rPr>
            </w:pPr>
            <w:r w:rsidRPr="00C64315">
              <w:rPr>
                <w:b/>
                <w:bCs/>
                <w:lang w:val="en-GB"/>
              </w:rPr>
              <w:t>Symbol</w:t>
            </w:r>
          </w:p>
        </w:tc>
        <w:tc>
          <w:tcPr>
            <w:tcW w:w="0" w:type="auto"/>
            <w:vAlign w:val="center"/>
            <w:hideMark/>
          </w:tcPr>
          <w:p w14:paraId="385E163A" w14:textId="77777777" w:rsidR="00AE4230" w:rsidRPr="00C64315" w:rsidRDefault="00AE4230" w:rsidP="002858A3">
            <w:pPr>
              <w:spacing w:after="160" w:line="278" w:lineRule="auto"/>
              <w:rPr>
                <w:b/>
                <w:bCs/>
                <w:lang w:val="en-GB"/>
              </w:rPr>
            </w:pPr>
            <w:r w:rsidRPr="00C64315">
              <w:rPr>
                <w:b/>
                <w:bCs/>
                <w:lang w:val="en-GB"/>
              </w:rPr>
              <w:t>Meaning</w:t>
            </w:r>
          </w:p>
        </w:tc>
        <w:tc>
          <w:tcPr>
            <w:tcW w:w="0" w:type="auto"/>
            <w:vAlign w:val="center"/>
            <w:hideMark/>
          </w:tcPr>
          <w:p w14:paraId="0C877E6C" w14:textId="77777777" w:rsidR="00AE4230" w:rsidRPr="00C64315" w:rsidRDefault="00AE4230" w:rsidP="002858A3">
            <w:pPr>
              <w:spacing w:after="160" w:line="278" w:lineRule="auto"/>
              <w:rPr>
                <w:b/>
                <w:bCs/>
                <w:lang w:val="en-GB"/>
              </w:rPr>
            </w:pPr>
            <w:r w:rsidRPr="00C64315">
              <w:rPr>
                <w:b/>
                <w:bCs/>
                <w:lang w:val="en-GB"/>
              </w:rPr>
              <w:t>Example</w:t>
            </w:r>
          </w:p>
        </w:tc>
      </w:tr>
      <w:tr w:rsidR="00AE4230" w:rsidRPr="00C64315" w14:paraId="1ED239E3" w14:textId="77777777" w:rsidTr="002858A3">
        <w:trPr>
          <w:tblCellSpacing w:w="15" w:type="dxa"/>
        </w:trPr>
        <w:tc>
          <w:tcPr>
            <w:tcW w:w="0" w:type="auto"/>
            <w:vAlign w:val="center"/>
            <w:hideMark/>
          </w:tcPr>
          <w:p w14:paraId="20A82820" w14:textId="77777777" w:rsidR="00AE4230" w:rsidRPr="00C64315" w:rsidRDefault="00AE4230" w:rsidP="002858A3">
            <w:pPr>
              <w:spacing w:after="160" w:line="278" w:lineRule="auto"/>
              <w:rPr>
                <w:lang w:val="en-GB"/>
              </w:rPr>
            </w:pPr>
            <w:r w:rsidRPr="00C64315">
              <w:rPr>
                <w:rFonts w:ascii="Segoe UI Symbol" w:hAnsi="Segoe UI Symbol" w:cs="Segoe UI Symbol"/>
                <w:lang w:val="en-GB"/>
              </w:rPr>
              <w:t>✔</w:t>
            </w:r>
          </w:p>
        </w:tc>
        <w:tc>
          <w:tcPr>
            <w:tcW w:w="0" w:type="auto"/>
            <w:vAlign w:val="center"/>
            <w:hideMark/>
          </w:tcPr>
          <w:p w14:paraId="6E1813C3" w14:textId="77777777" w:rsidR="00AE4230" w:rsidRPr="00C64315" w:rsidRDefault="00AE4230" w:rsidP="002858A3">
            <w:pPr>
              <w:spacing w:after="160" w:line="278" w:lineRule="auto"/>
              <w:rPr>
                <w:lang w:val="en-GB"/>
              </w:rPr>
            </w:pPr>
            <w:r w:rsidRPr="00C64315">
              <w:rPr>
                <w:lang w:val="en-GB"/>
              </w:rPr>
              <w:t>I already knew this</w:t>
            </w:r>
          </w:p>
        </w:tc>
        <w:tc>
          <w:tcPr>
            <w:tcW w:w="0" w:type="auto"/>
            <w:vAlign w:val="center"/>
            <w:hideMark/>
          </w:tcPr>
          <w:p w14:paraId="2CBB0C43" w14:textId="77777777" w:rsidR="00AE4230" w:rsidRPr="00C64315" w:rsidRDefault="00AE4230" w:rsidP="002858A3">
            <w:pPr>
              <w:spacing w:after="160" w:line="278" w:lineRule="auto"/>
              <w:rPr>
                <w:lang w:val="en-GB"/>
              </w:rPr>
            </w:pPr>
            <w:r w:rsidRPr="00C64315">
              <w:rPr>
                <w:lang w:val="en-GB"/>
              </w:rPr>
              <w:t>“Historians often rely on archival sources.”</w:t>
            </w:r>
          </w:p>
        </w:tc>
      </w:tr>
      <w:tr w:rsidR="00AE4230" w:rsidRPr="00C64315" w14:paraId="21C6A243" w14:textId="77777777" w:rsidTr="002858A3">
        <w:trPr>
          <w:tblCellSpacing w:w="15" w:type="dxa"/>
        </w:trPr>
        <w:tc>
          <w:tcPr>
            <w:tcW w:w="0" w:type="auto"/>
            <w:vAlign w:val="center"/>
            <w:hideMark/>
          </w:tcPr>
          <w:p w14:paraId="02038140" w14:textId="77777777" w:rsidR="00AE4230" w:rsidRPr="00C64315" w:rsidRDefault="00AE4230" w:rsidP="002858A3">
            <w:pPr>
              <w:spacing w:after="160" w:line="278" w:lineRule="auto"/>
              <w:rPr>
                <w:lang w:val="en-GB"/>
              </w:rPr>
            </w:pPr>
            <w:r w:rsidRPr="00C64315">
              <w:rPr>
                <w:lang w:val="en-GB"/>
              </w:rPr>
              <w:t>+</w:t>
            </w:r>
          </w:p>
        </w:tc>
        <w:tc>
          <w:tcPr>
            <w:tcW w:w="0" w:type="auto"/>
            <w:vAlign w:val="center"/>
            <w:hideMark/>
          </w:tcPr>
          <w:p w14:paraId="5B82282D" w14:textId="77777777" w:rsidR="00AE4230" w:rsidRPr="00C64315" w:rsidRDefault="00AE4230" w:rsidP="002858A3">
            <w:pPr>
              <w:spacing w:after="160" w:line="278" w:lineRule="auto"/>
              <w:rPr>
                <w:lang w:val="en-GB"/>
              </w:rPr>
            </w:pPr>
            <w:r w:rsidRPr="00C64315">
              <w:rPr>
                <w:lang w:val="en-GB"/>
              </w:rPr>
              <w:t>This is new information</w:t>
            </w:r>
          </w:p>
        </w:tc>
        <w:tc>
          <w:tcPr>
            <w:tcW w:w="0" w:type="auto"/>
            <w:vAlign w:val="center"/>
            <w:hideMark/>
          </w:tcPr>
          <w:p w14:paraId="2B4C1B78" w14:textId="77777777" w:rsidR="00AE4230" w:rsidRPr="00C64315" w:rsidRDefault="00AE4230" w:rsidP="002858A3">
            <w:pPr>
              <w:spacing w:after="160" w:line="278" w:lineRule="auto"/>
              <w:rPr>
                <w:lang w:val="en-GB"/>
              </w:rPr>
            </w:pPr>
            <w:r w:rsidRPr="00C64315">
              <w:rPr>
                <w:lang w:val="en-GB"/>
              </w:rPr>
              <w:t>“Digital archives are changing historiography.”</w:t>
            </w:r>
          </w:p>
        </w:tc>
      </w:tr>
      <w:tr w:rsidR="00AE4230" w:rsidRPr="00C64315" w14:paraId="0CD0D09F" w14:textId="77777777" w:rsidTr="002858A3">
        <w:trPr>
          <w:tblCellSpacing w:w="15" w:type="dxa"/>
        </w:trPr>
        <w:tc>
          <w:tcPr>
            <w:tcW w:w="0" w:type="auto"/>
            <w:vAlign w:val="center"/>
            <w:hideMark/>
          </w:tcPr>
          <w:p w14:paraId="5C4BABBF" w14:textId="77777777" w:rsidR="00AE4230" w:rsidRPr="00C64315" w:rsidRDefault="00AE4230" w:rsidP="002858A3">
            <w:pPr>
              <w:spacing w:after="160" w:line="278" w:lineRule="auto"/>
              <w:rPr>
                <w:lang w:val="en-GB"/>
              </w:rPr>
            </w:pPr>
            <w:r w:rsidRPr="00C64315">
              <w:rPr>
                <w:lang w:val="en-GB"/>
              </w:rPr>
              <w:t>–</w:t>
            </w:r>
          </w:p>
        </w:tc>
        <w:tc>
          <w:tcPr>
            <w:tcW w:w="0" w:type="auto"/>
            <w:vAlign w:val="center"/>
            <w:hideMark/>
          </w:tcPr>
          <w:p w14:paraId="5E089C32" w14:textId="77777777" w:rsidR="00AE4230" w:rsidRPr="00C64315" w:rsidRDefault="00AE4230" w:rsidP="002858A3">
            <w:pPr>
              <w:spacing w:after="160" w:line="278" w:lineRule="auto"/>
              <w:rPr>
                <w:lang w:val="en-GB"/>
              </w:rPr>
            </w:pPr>
            <w:r w:rsidRPr="00C64315">
              <w:rPr>
                <w:lang w:val="en-GB"/>
              </w:rPr>
              <w:t>This contradicts what I thought</w:t>
            </w:r>
          </w:p>
        </w:tc>
        <w:tc>
          <w:tcPr>
            <w:tcW w:w="0" w:type="auto"/>
            <w:vAlign w:val="center"/>
            <w:hideMark/>
          </w:tcPr>
          <w:p w14:paraId="0B5D13E4" w14:textId="77777777" w:rsidR="00AE4230" w:rsidRPr="00C64315" w:rsidRDefault="00AE4230" w:rsidP="002858A3">
            <w:pPr>
              <w:spacing w:after="160" w:line="278" w:lineRule="auto"/>
              <w:rPr>
                <w:lang w:val="en-GB"/>
              </w:rPr>
            </w:pPr>
            <w:r w:rsidRPr="00C64315">
              <w:rPr>
                <w:lang w:val="en-GB"/>
              </w:rPr>
              <w:t>“So oral histories can be more reliable than written records?”</w:t>
            </w:r>
          </w:p>
        </w:tc>
      </w:tr>
      <w:tr w:rsidR="00AE4230" w:rsidRPr="00C64315" w14:paraId="1FC6CE19" w14:textId="77777777" w:rsidTr="002858A3">
        <w:trPr>
          <w:tblCellSpacing w:w="15" w:type="dxa"/>
        </w:trPr>
        <w:tc>
          <w:tcPr>
            <w:tcW w:w="0" w:type="auto"/>
            <w:vAlign w:val="center"/>
            <w:hideMark/>
          </w:tcPr>
          <w:p w14:paraId="41E01F7B" w14:textId="77777777" w:rsidR="00AE4230" w:rsidRPr="00C64315" w:rsidRDefault="00AE4230" w:rsidP="002858A3">
            <w:pPr>
              <w:spacing w:after="160" w:line="278" w:lineRule="auto"/>
              <w:rPr>
                <w:lang w:val="en-GB"/>
              </w:rPr>
            </w:pPr>
            <w:r w:rsidRPr="00C64315">
              <w:rPr>
                <w:lang w:val="en-GB"/>
              </w:rPr>
              <w:t>?</w:t>
            </w:r>
          </w:p>
        </w:tc>
        <w:tc>
          <w:tcPr>
            <w:tcW w:w="0" w:type="auto"/>
            <w:vAlign w:val="center"/>
            <w:hideMark/>
          </w:tcPr>
          <w:p w14:paraId="4E24829B" w14:textId="77777777" w:rsidR="00AE4230" w:rsidRPr="00C64315" w:rsidRDefault="00AE4230" w:rsidP="002858A3">
            <w:pPr>
              <w:spacing w:after="160" w:line="278" w:lineRule="auto"/>
              <w:rPr>
                <w:lang w:val="en-GB"/>
              </w:rPr>
            </w:pPr>
            <w:r w:rsidRPr="00C64315">
              <w:rPr>
                <w:lang w:val="en-GB"/>
              </w:rPr>
              <w:t>I have a question / need to clarify</w:t>
            </w:r>
          </w:p>
        </w:tc>
        <w:tc>
          <w:tcPr>
            <w:tcW w:w="0" w:type="auto"/>
            <w:vAlign w:val="center"/>
            <w:hideMark/>
          </w:tcPr>
          <w:p w14:paraId="69B354BD" w14:textId="77777777" w:rsidR="00AE4230" w:rsidRPr="00C64315" w:rsidRDefault="00AE4230" w:rsidP="002858A3">
            <w:pPr>
              <w:spacing w:after="160" w:line="278" w:lineRule="auto"/>
              <w:rPr>
                <w:lang w:val="en-GB"/>
              </w:rPr>
            </w:pPr>
            <w:r w:rsidRPr="00C64315">
              <w:rPr>
                <w:lang w:val="en-GB"/>
              </w:rPr>
              <w:t>“How exactly does this apply to non-Western contexts?”</w:t>
            </w:r>
          </w:p>
        </w:tc>
      </w:tr>
    </w:tbl>
    <w:p w14:paraId="28DD5D17" w14:textId="77777777" w:rsidR="00AE4230" w:rsidRPr="00C64315" w:rsidRDefault="00AE4230" w:rsidP="00AE4230">
      <w:pPr>
        <w:spacing w:after="160" w:line="278" w:lineRule="auto"/>
        <w:rPr>
          <w:lang w:val="en-GB"/>
        </w:rPr>
      </w:pPr>
      <w:r w:rsidRPr="004B706F">
        <w:rPr>
          <w:lang w:val="en-GB"/>
        </w:rPr>
        <w:t>U</w:t>
      </w:r>
      <w:r w:rsidRPr="00C64315">
        <w:rPr>
          <w:lang w:val="en-GB"/>
        </w:rPr>
        <w:t>sing these marks while reading:</w:t>
      </w:r>
    </w:p>
    <w:p w14:paraId="4F49042F" w14:textId="77777777" w:rsidR="00AE4230" w:rsidRPr="00C64315" w:rsidRDefault="00AE4230" w:rsidP="00AE4230">
      <w:pPr>
        <w:numPr>
          <w:ilvl w:val="0"/>
          <w:numId w:val="10"/>
        </w:numPr>
        <w:spacing w:after="160" w:line="278" w:lineRule="auto"/>
        <w:rPr>
          <w:lang w:val="en-GB"/>
        </w:rPr>
      </w:pPr>
      <w:r w:rsidRPr="00C64315">
        <w:rPr>
          <w:lang w:val="en-GB"/>
        </w:rPr>
        <w:t>keeps the reader actively engaged,</w:t>
      </w:r>
    </w:p>
    <w:p w14:paraId="3F326E31" w14:textId="77777777" w:rsidR="00AE4230" w:rsidRPr="00C64315" w:rsidRDefault="00AE4230" w:rsidP="00AE4230">
      <w:pPr>
        <w:numPr>
          <w:ilvl w:val="0"/>
          <w:numId w:val="10"/>
        </w:numPr>
        <w:spacing w:after="160" w:line="278" w:lineRule="auto"/>
        <w:rPr>
          <w:lang w:val="en-GB"/>
        </w:rPr>
      </w:pPr>
      <w:r w:rsidRPr="00C64315">
        <w:rPr>
          <w:lang w:val="en-GB"/>
        </w:rPr>
        <w:t>helps identify key themes and questions for discussion or writing,</w:t>
      </w:r>
    </w:p>
    <w:p w14:paraId="0CBA35F4" w14:textId="77777777" w:rsidR="00AE4230" w:rsidRDefault="00AE4230" w:rsidP="00AE4230">
      <w:pPr>
        <w:numPr>
          <w:ilvl w:val="0"/>
          <w:numId w:val="10"/>
        </w:numPr>
        <w:spacing w:after="160" w:line="278" w:lineRule="auto"/>
        <w:rPr>
          <w:lang w:val="en-GB"/>
        </w:rPr>
      </w:pPr>
      <w:r w:rsidRPr="00C64315">
        <w:rPr>
          <w:lang w:val="en-GB"/>
        </w:rPr>
        <w:t>and supports critical thinking and note-taking.</w:t>
      </w:r>
    </w:p>
    <w:p w14:paraId="746B6E1E" w14:textId="77777777" w:rsidR="00AE4230" w:rsidRDefault="00AE4230" w:rsidP="00AE4230">
      <w:r w:rsidRPr="00AE4230">
        <w:rPr>
          <w:b/>
          <w:bCs/>
          <w:lang w:val="en-GB"/>
        </w:rPr>
        <w:t>Part 2</w:t>
      </w:r>
      <w:r>
        <w:rPr>
          <w:b/>
          <w:bCs/>
          <w:lang w:val="en-GB"/>
        </w:rPr>
        <w:t xml:space="preserve"> - </w:t>
      </w:r>
      <w:r>
        <w:t>Read the text and use the INSERT to annotate ideas as you read.</w:t>
      </w:r>
      <w:r>
        <w:br/>
      </w:r>
    </w:p>
    <w:p w14:paraId="7A0964F7" w14:textId="77777777" w:rsidR="003D1B9A" w:rsidRDefault="00000000">
      <w:pPr>
        <w:pStyle w:val="Nadpis1"/>
        <w:jc w:val="center"/>
      </w:pPr>
      <w:r>
        <w:t>Critical Thinking and the Academic Reader</w:t>
      </w:r>
    </w:p>
    <w:p w14:paraId="557352B0" w14:textId="77777777" w:rsidR="003D1B9A" w:rsidRDefault="00000000">
      <w:pPr>
        <w:pStyle w:val="Nadpis2"/>
      </w:pPr>
      <w:r>
        <w:t>INSERT Method Key</w:t>
      </w:r>
    </w:p>
    <w:tbl>
      <w:tblPr>
        <w:tblW w:w="0" w:type="auto"/>
        <w:tblLook w:val="04A0" w:firstRow="1" w:lastRow="0" w:firstColumn="1" w:lastColumn="0" w:noHBand="0" w:noVBand="1"/>
      </w:tblPr>
      <w:tblGrid>
        <w:gridCol w:w="2160"/>
        <w:gridCol w:w="2160"/>
        <w:gridCol w:w="2160"/>
        <w:gridCol w:w="2160"/>
      </w:tblGrid>
      <w:tr w:rsidR="003D1B9A" w14:paraId="5BD46D2F" w14:textId="77777777">
        <w:tc>
          <w:tcPr>
            <w:tcW w:w="2160" w:type="dxa"/>
          </w:tcPr>
          <w:p w14:paraId="443806A0" w14:textId="77777777" w:rsidR="003D1B9A" w:rsidRDefault="00000000">
            <w:r>
              <w:t>✔ I already knew this</w:t>
            </w:r>
          </w:p>
        </w:tc>
        <w:tc>
          <w:tcPr>
            <w:tcW w:w="2160" w:type="dxa"/>
          </w:tcPr>
          <w:p w14:paraId="3462F60D" w14:textId="77777777" w:rsidR="003D1B9A" w:rsidRDefault="00000000">
            <w:r>
              <w:t>+ This is new information</w:t>
            </w:r>
          </w:p>
        </w:tc>
        <w:tc>
          <w:tcPr>
            <w:tcW w:w="2160" w:type="dxa"/>
          </w:tcPr>
          <w:p w14:paraId="538626F7" w14:textId="77777777" w:rsidR="003D1B9A" w:rsidRDefault="00000000">
            <w:r>
              <w:t>– This contradicts what I thought</w:t>
            </w:r>
          </w:p>
        </w:tc>
        <w:tc>
          <w:tcPr>
            <w:tcW w:w="2160" w:type="dxa"/>
          </w:tcPr>
          <w:p w14:paraId="5C91AE31" w14:textId="77777777" w:rsidR="003D1B9A" w:rsidRDefault="00000000">
            <w:r>
              <w:t>? I have a question / need clarification</w:t>
            </w:r>
          </w:p>
        </w:tc>
      </w:tr>
    </w:tbl>
    <w:p w14:paraId="27D49C8D" w14:textId="77777777" w:rsidR="003D1B9A" w:rsidRDefault="00000000">
      <w:r>
        <w:t>1️⃣ In contemporary higher education, critical thinking is widely regarded as a core academic skill. It enables students not only to understand information but also to evaluate, interpret, and question it. In the context of reading, critical thinking means going beyond simple comprehension to consider the reliability, purpose, and implications of a text. Rather than asking only “What does this text say?”, critical readers also ask “How and why does it say it?”.</w:t>
      </w:r>
    </w:p>
    <w:p w14:paraId="228690E3" w14:textId="77777777" w:rsidR="003D1B9A" w:rsidRDefault="00000000">
      <w:r>
        <w:t xml:space="preserve">2️⃣ Academic reading differs from everyday reading because it is driven by a specific purpose. Students read not just to absorb facts, but to engage with ideas and arguments. This requires active questioning and reflection. According to Wallace and Wray (2016), </w:t>
      </w:r>
      <w:r>
        <w:lastRenderedPageBreak/>
        <w:t>academic readers should approach a text as participants in a scholarly conversation, not as passive recipients of knowledge.</w:t>
      </w:r>
    </w:p>
    <w:p w14:paraId="1F7108C4" w14:textId="77777777" w:rsidR="003D1B9A" w:rsidRDefault="00000000">
      <w:r>
        <w:t>3️⃣ One of the main challenges in developing critical reading skills lies in recognizing the author’s perspective. Every academic text is written from a particular position — theoretical, cultural, or ideological. Even when authors claim objectivity, their choice of sources, methods, and language reflects certain assumptions. Identifying these underlying perspectives helps readers evaluate how evidence is selected and how arguments are framed.</w:t>
      </w:r>
    </w:p>
    <w:p w14:paraId="4E6A18CD" w14:textId="77777777" w:rsidR="003D1B9A" w:rsidRDefault="00000000">
      <w:r>
        <w:t>4️⃣ Critical reading also involves distinguishing between fact, interpretation, and opinion. In the humanities and social sciences, texts often blend all three. A historian, for instance, may present factual evidence while also offering a personal interpretation of events. As students learn to notice this distinction, they become better equipped to decide which claims are well supported and which are open to debate.</w:t>
      </w:r>
    </w:p>
    <w:p w14:paraId="574642E5" w14:textId="77777777" w:rsidR="003D1B9A" w:rsidRDefault="00000000">
      <w:r>
        <w:t>5️⃣ Another key aspect of critical thinking in reading is understanding the structure of argumentation. Academic writers build their arguments through claims, evidence, and reasoning. By mapping these elements, readers can see how conclusions are reached — and where weaknesses may lie. Asking questions such as “What is the author’s main claim?” or “What kind of evidence is used to support it?” helps readers maintain an analytical stance.</w:t>
      </w:r>
    </w:p>
    <w:p w14:paraId="3D811D8A" w14:textId="77777777" w:rsidR="003D1B9A" w:rsidRDefault="00000000">
      <w:r>
        <w:t>6️⃣ At the same time, critical reading does not mean reading only to criticize. It involves a balance between openness and skepticism. Readers must be willing to learn from new perspectives while also remaining alert to bias or logical inconsistency. As Ennis (2011) points out, critical thinking requires both curiosity and discipline: curiosity to explore ideas, and discipline to evaluate them carefully.</w:t>
      </w:r>
    </w:p>
    <w:p w14:paraId="1D570283" w14:textId="77777777" w:rsidR="003D1B9A" w:rsidRDefault="00000000">
      <w:r>
        <w:t>7️⃣ In multilingual and multicultural academic environments, critical reading takes on additional complexity. Students may encounter texts from different traditions of thought, where argumentation styles and rhetorical norms vary. What counts as “evidence” in one discipline or culture may not hold the same authority in another. Developing global critical literacy therefore involves awareness of diversity in ways of knowing and reasoning.</w:t>
      </w:r>
    </w:p>
    <w:p w14:paraId="2E082B17" w14:textId="77777777" w:rsidR="003D1B9A" w:rsidRDefault="00000000">
      <w:r>
        <w:t>8️⃣ Digital media have also changed how students read critically. Online academic databases, blogs, and social networks expose readers to vast amounts of information — not all of it reliable. Evaluating the credibility of digital sources has become an essential component of critical reading. This means examining not only the content but also the authorship, publication context, and potential bias of online materials.</w:t>
      </w:r>
    </w:p>
    <w:p w14:paraId="0A69E07C" w14:textId="77777777" w:rsidR="003D1B9A" w:rsidRDefault="00000000">
      <w:r>
        <w:t xml:space="preserve">9️⃣ Teaching critical thinking in reading often involves explicit strategy instruction. Activities such as annotation, question generation, and reflective journaling help students monitor their understanding and evaluate their reactions to a text. The INSERT method, for example, encourages readers to mark ideas they agree with (✔), find new (+), question (?), </w:t>
      </w:r>
      <w:r>
        <w:lastRenderedPageBreak/>
        <w:t>or find contradictory (–). These visual markers can transform reading from a passive to an interactive process.</w:t>
      </w:r>
    </w:p>
    <w:p w14:paraId="1AD5A155" w14:textId="77777777" w:rsidR="003D1B9A" w:rsidRDefault="00000000">
      <w:r>
        <w:t>🔟 Ultimately, critical thinking in academic reading is not a fixed skill but a lifelong practice. It evolves as students read more widely, encounter new disciplines, and engage in scholarly dialogue. Developing this habit of mind enables them to participate fully in academic and civic life — as informed, reflective, and responsible readers of the world around them.</w:t>
      </w:r>
    </w:p>
    <w:p w14:paraId="39D622C1" w14:textId="77777777" w:rsidR="003D1B9A" w:rsidRDefault="00000000">
      <w:pPr>
        <w:pStyle w:val="Nadpis2"/>
      </w:pPr>
      <w:r>
        <w:t>References</w:t>
      </w:r>
    </w:p>
    <w:p w14:paraId="67000AAC" w14:textId="77777777" w:rsidR="003D1B9A" w:rsidRDefault="00000000">
      <w:r>
        <w:t>Ennis, R. H. (2011). The Nature of Critical Thinking: An Outline of Critical Thinking Dispositions and Abilities. University of Illinois.</w:t>
      </w:r>
    </w:p>
    <w:p w14:paraId="419390F7" w14:textId="77777777" w:rsidR="00AE4230" w:rsidRPr="00AE4230" w:rsidRDefault="00000000" w:rsidP="00AE4230">
      <w:pPr>
        <w:pStyle w:val="Nadpis2"/>
        <w:rPr>
          <w:rFonts w:asciiTheme="minorHAnsi" w:eastAsiaTheme="minorEastAsia" w:hAnsiTheme="minorHAnsi" w:cstheme="minorBidi"/>
          <w:b w:val="0"/>
          <w:bCs w:val="0"/>
          <w:color w:val="auto"/>
          <w:sz w:val="22"/>
          <w:szCs w:val="22"/>
        </w:rPr>
      </w:pPr>
      <w:r w:rsidRPr="00AE4230">
        <w:rPr>
          <w:rFonts w:asciiTheme="minorHAnsi" w:eastAsiaTheme="minorEastAsia" w:hAnsiTheme="minorHAnsi" w:cstheme="minorBidi"/>
          <w:b w:val="0"/>
          <w:bCs w:val="0"/>
          <w:color w:val="auto"/>
          <w:sz w:val="22"/>
          <w:szCs w:val="22"/>
        </w:rPr>
        <w:t>Wallace, M., &amp; Wray, A. (2016). Critical Reading and Writing for Postgraduates. SAGE Publications.</w:t>
      </w:r>
      <w:r w:rsidR="00AE4230" w:rsidRPr="00AE4230">
        <w:rPr>
          <w:rFonts w:asciiTheme="minorHAnsi" w:eastAsiaTheme="minorEastAsia" w:hAnsiTheme="minorHAnsi" w:cstheme="minorBidi"/>
          <w:b w:val="0"/>
          <w:bCs w:val="0"/>
          <w:color w:val="auto"/>
          <w:sz w:val="22"/>
          <w:szCs w:val="22"/>
        </w:rPr>
        <w:t xml:space="preserve"> </w:t>
      </w:r>
    </w:p>
    <w:p w14:paraId="79F47260" w14:textId="5C83A666" w:rsidR="00AE4230" w:rsidRDefault="00AE4230" w:rsidP="00AE4230">
      <w:pPr>
        <w:pStyle w:val="Nadpis2"/>
      </w:pPr>
      <w:r>
        <w:t>Reflection Task</w:t>
      </w:r>
    </w:p>
    <w:p w14:paraId="31D4B540" w14:textId="77777777" w:rsidR="00AE4230" w:rsidRDefault="00AE4230" w:rsidP="00AE4230">
      <w:r>
        <w:t>1. Choose two paragraphs and explain your INSERT marks in short notes.</w:t>
      </w:r>
      <w:r>
        <w:br/>
        <w:t>2. Discuss with a partner: Which ideas did you find most thought-provoking or challenging, and why?</w:t>
      </w:r>
    </w:p>
    <w:p w14:paraId="07A64A0B" w14:textId="483A3323" w:rsidR="003D1B9A" w:rsidRDefault="003D1B9A"/>
    <w:sectPr w:rsidR="003D1B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73640202"/>
    <w:multiLevelType w:val="multilevel"/>
    <w:tmpl w:val="6BB8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759191">
    <w:abstractNumId w:val="8"/>
  </w:num>
  <w:num w:numId="2" w16cid:durableId="1839230528">
    <w:abstractNumId w:val="6"/>
  </w:num>
  <w:num w:numId="3" w16cid:durableId="1294940932">
    <w:abstractNumId w:val="5"/>
  </w:num>
  <w:num w:numId="4" w16cid:durableId="350567115">
    <w:abstractNumId w:val="4"/>
  </w:num>
  <w:num w:numId="5" w16cid:durableId="560529603">
    <w:abstractNumId w:val="7"/>
  </w:num>
  <w:num w:numId="6" w16cid:durableId="261844261">
    <w:abstractNumId w:val="3"/>
  </w:num>
  <w:num w:numId="7" w16cid:durableId="675301011">
    <w:abstractNumId w:val="2"/>
  </w:num>
  <w:num w:numId="8" w16cid:durableId="529799576">
    <w:abstractNumId w:val="1"/>
  </w:num>
  <w:num w:numId="9" w16cid:durableId="1063869191">
    <w:abstractNumId w:val="0"/>
  </w:num>
  <w:num w:numId="10" w16cid:durableId="8478394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130"/>
    <w:rsid w:val="0015074B"/>
    <w:rsid w:val="0029639D"/>
    <w:rsid w:val="00326F90"/>
    <w:rsid w:val="003D1B9A"/>
    <w:rsid w:val="00597563"/>
    <w:rsid w:val="00AA1D8D"/>
    <w:rsid w:val="00AB6167"/>
    <w:rsid w:val="00AE423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68078"/>
  <w14:defaultImageDpi w14:val="300"/>
  <w15:docId w15:val="{6EE8B93B-EA71-443D-B841-62F5ADC4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4935</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Ritter Konárková, Michaela</cp:lastModifiedBy>
  <cp:revision>2</cp:revision>
  <dcterms:created xsi:type="dcterms:W3CDTF">2025-10-21T09:36:00Z</dcterms:created>
  <dcterms:modified xsi:type="dcterms:W3CDTF">2025-10-21T09:36:00Z</dcterms:modified>
  <cp:category/>
</cp:coreProperties>
</file>