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C4CE0" w14:textId="674CB9EF" w:rsidR="00BB700B" w:rsidRPr="0042241F" w:rsidRDefault="00BB700B" w:rsidP="0045570F">
      <w:pPr>
        <w:spacing w:line="360" w:lineRule="auto"/>
        <w:jc w:val="both"/>
      </w:pPr>
      <w:r w:rsidRPr="0042241F">
        <w:t xml:space="preserve">Nela Řeháková </w:t>
      </w:r>
    </w:p>
    <w:p w14:paraId="6495CEC7" w14:textId="06EFAB6E" w:rsidR="00166737" w:rsidRPr="005C0EEF" w:rsidRDefault="00166737" w:rsidP="0045570F">
      <w:pPr>
        <w:spacing w:line="360" w:lineRule="auto"/>
        <w:jc w:val="both"/>
      </w:pPr>
      <w:r w:rsidRPr="005C0EEF">
        <w:t>Výzkumný seminář – etnografie</w:t>
      </w:r>
    </w:p>
    <w:p w14:paraId="414CD057" w14:textId="13E3B100" w:rsidR="0042241F" w:rsidRPr="0042241F" w:rsidRDefault="00166737" w:rsidP="0045570F">
      <w:pPr>
        <w:spacing w:line="360" w:lineRule="auto"/>
        <w:jc w:val="both"/>
        <w:rPr>
          <w:b/>
          <w:bCs/>
          <w:sz w:val="28"/>
          <w:szCs w:val="28"/>
        </w:rPr>
      </w:pPr>
      <w:r w:rsidRPr="0042241F">
        <w:rPr>
          <w:b/>
          <w:bCs/>
          <w:sz w:val="28"/>
          <w:szCs w:val="28"/>
        </w:rPr>
        <w:t>Referát – Habitus hazardního hráče</w:t>
      </w:r>
    </w:p>
    <w:p w14:paraId="28E8D8C8" w14:textId="4E39DB10" w:rsidR="00166737" w:rsidRDefault="00166737" w:rsidP="0045570F">
      <w:pPr>
        <w:spacing w:line="360" w:lineRule="auto"/>
        <w:jc w:val="both"/>
      </w:pPr>
      <w:r>
        <w:t xml:space="preserve">Tento referát se zakládá na části (zhruba polovině) knihy Habitus hazardního hráče od Michala </w:t>
      </w:r>
      <w:proofErr w:type="spellStart"/>
      <w:r>
        <w:t>Horáčka</w:t>
      </w:r>
      <w:proofErr w:type="spellEnd"/>
      <w:r w:rsidR="00DC4AE7">
        <w:t xml:space="preserve"> z roku 2012. </w:t>
      </w:r>
      <w:r w:rsidR="00F548D2">
        <w:t xml:space="preserve">Mým cílem, jak </w:t>
      </w:r>
      <w:r w:rsidR="00FC7732">
        <w:t>prezentace</w:t>
      </w:r>
      <w:r w:rsidR="00F548D2">
        <w:t>, tak i tohoto referátu</w:t>
      </w:r>
      <w:r w:rsidR="0001141B">
        <w:t>,</w:t>
      </w:r>
      <w:r w:rsidR="00F548D2">
        <w:t xml:space="preserve"> je pokusit se propojit </w:t>
      </w:r>
      <w:r w:rsidR="00DE007B">
        <w:t xml:space="preserve">principy </w:t>
      </w:r>
      <w:proofErr w:type="spellStart"/>
      <w:r w:rsidR="00DE007B">
        <w:t>Hořáčkov</w:t>
      </w:r>
      <w:r w:rsidR="0036616C">
        <w:t>y</w:t>
      </w:r>
      <w:proofErr w:type="spellEnd"/>
      <w:r w:rsidR="00DE007B">
        <w:t xml:space="preserve"> etnografie s učebnicí </w:t>
      </w:r>
      <w:proofErr w:type="spellStart"/>
      <w:r w:rsidR="00D72EFB">
        <w:t>Anthropological</w:t>
      </w:r>
      <w:proofErr w:type="spellEnd"/>
      <w:r w:rsidR="00D72EFB">
        <w:t xml:space="preserve"> practice od </w:t>
      </w:r>
      <w:r w:rsidR="00DE007B">
        <w:t xml:space="preserve">Judith </w:t>
      </w:r>
      <w:proofErr w:type="spellStart"/>
      <w:r w:rsidR="00DE007B">
        <w:t>Ok</w:t>
      </w:r>
      <w:r w:rsidR="00BB6371">
        <w:t>ely</w:t>
      </w:r>
      <w:proofErr w:type="spellEnd"/>
      <w:r w:rsidR="00DE007B">
        <w:t xml:space="preserve">. </w:t>
      </w:r>
    </w:p>
    <w:p w14:paraId="77FFC372" w14:textId="0C9C6513" w:rsidR="00D72EFB" w:rsidRPr="0045172B" w:rsidRDefault="00D72EFB" w:rsidP="0045570F">
      <w:pPr>
        <w:spacing w:line="360" w:lineRule="auto"/>
        <w:jc w:val="both"/>
        <w:rPr>
          <w:b/>
          <w:bCs/>
        </w:rPr>
      </w:pPr>
      <w:r w:rsidRPr="0045172B">
        <w:rPr>
          <w:b/>
          <w:bCs/>
        </w:rPr>
        <w:t>Téma etnografie</w:t>
      </w:r>
    </w:p>
    <w:p w14:paraId="7A18BF0D" w14:textId="1B06A04A" w:rsidR="00D72EFB" w:rsidRDefault="00F37EE3" w:rsidP="0045570F">
      <w:pPr>
        <w:spacing w:line="360" w:lineRule="auto"/>
        <w:jc w:val="both"/>
      </w:pPr>
      <w:r>
        <w:t>Jedná se o případovou studii</w:t>
      </w:r>
      <w:r w:rsidR="00AA0BE7">
        <w:t xml:space="preserve">, jejíž cílem bylo zjistit povahu referenční reality. </w:t>
      </w:r>
      <w:r w:rsidR="00DA190D">
        <w:t xml:space="preserve">Zabývá se světem hazardních her za </w:t>
      </w:r>
      <w:r w:rsidR="00071124">
        <w:t xml:space="preserve">doby </w:t>
      </w:r>
      <w:r w:rsidR="00DA190D">
        <w:t xml:space="preserve">normalizace. Autor byl sám hazardním hráčem mnoho let, avšak </w:t>
      </w:r>
      <w:r w:rsidR="009E5AFF">
        <w:t xml:space="preserve">etnografie se zaměřuje na samotný vstup do tohoto prostředí, na iniciační </w:t>
      </w:r>
      <w:r w:rsidR="00D073F9">
        <w:t>„</w:t>
      </w:r>
      <w:r w:rsidR="009E5AFF">
        <w:t>rituál”</w:t>
      </w:r>
      <w:r w:rsidR="00B063F0">
        <w:t xml:space="preserve"> a popisuje tak pouze prvních pár dnů, ovšem velmi komplexních. Uvádí tak čtenáře do onoho prostředí, přičemž využívá dvě dimenze – příběh z venku a příběh zvenčí. </w:t>
      </w:r>
      <w:r w:rsidR="006C1D9B">
        <w:t xml:space="preserve">Tato kniha byla disertační prací </w:t>
      </w:r>
      <w:proofErr w:type="spellStart"/>
      <w:r w:rsidR="006C1D9B">
        <w:t>Horáčka</w:t>
      </w:r>
      <w:proofErr w:type="spellEnd"/>
      <w:r w:rsidR="006C1D9B">
        <w:t xml:space="preserve">, kterou obhájil na FHS UK. </w:t>
      </w:r>
      <w:r w:rsidR="008134E1">
        <w:t>Data jsou výsledkem zúčastněného pozorování.</w:t>
      </w:r>
      <w:r w:rsidR="00755616">
        <w:t xml:space="preserve"> Autorovým </w:t>
      </w:r>
      <w:proofErr w:type="spellStart"/>
      <w:r w:rsidR="00755616">
        <w:t>gatekeeperem</w:t>
      </w:r>
      <w:proofErr w:type="spellEnd"/>
      <w:r w:rsidR="00755616">
        <w:t xml:space="preserve"> se stal Kožíšek. Ostřílený hazardní hráč, jehož přezdívka vznikla z tragického osudu</w:t>
      </w:r>
      <w:r w:rsidR="00BC488C">
        <w:t>. Jako jediný z rodiny přežil koncentrační tábor a do hazardního prostředí přišel</w:t>
      </w:r>
      <w:r w:rsidR="00556C33">
        <w:t xml:space="preserve"> pouze v roztrhaném kožichu, který mu někdo daroval</w:t>
      </w:r>
      <w:r w:rsidR="00E24A4D">
        <w:t xml:space="preserve">. Na dostihy chodil za jakéhokoliv počasí. </w:t>
      </w:r>
      <w:r w:rsidR="000875D7">
        <w:t xml:space="preserve">Dostihy byly i zájmem </w:t>
      </w:r>
      <w:proofErr w:type="spellStart"/>
      <w:r w:rsidR="000875D7">
        <w:t>Horáčka</w:t>
      </w:r>
      <w:proofErr w:type="spellEnd"/>
      <w:r w:rsidR="000875D7">
        <w:t>.</w:t>
      </w:r>
    </w:p>
    <w:p w14:paraId="0DC7E666" w14:textId="3BFD2CE6" w:rsidR="008134E1" w:rsidRPr="0045172B" w:rsidRDefault="008134E1" w:rsidP="0045570F">
      <w:pPr>
        <w:spacing w:line="360" w:lineRule="auto"/>
        <w:jc w:val="both"/>
        <w:rPr>
          <w:b/>
          <w:bCs/>
        </w:rPr>
      </w:pPr>
      <w:r w:rsidRPr="0045172B">
        <w:rPr>
          <w:b/>
          <w:bCs/>
        </w:rPr>
        <w:t>Etnografická data ze vzpomínek</w:t>
      </w:r>
    </w:p>
    <w:p w14:paraId="6C2D1C3D" w14:textId="539B671E" w:rsidR="00674D2F" w:rsidRDefault="008134E1" w:rsidP="0045570F">
      <w:pPr>
        <w:spacing w:line="360" w:lineRule="auto"/>
        <w:jc w:val="both"/>
      </w:pPr>
      <w:r>
        <w:t>Čím je tato etnografie zajímavá je fakt, že data jsou čerpány ze vzpomínek autora. V době, kdy byl sám hazardním hráčem ještě netušil, že jednou bude psát etnografii. Antropologii se totiž začal věnovat až později a díky tomu se rozhodl svůj příběh zpracovat</w:t>
      </w:r>
      <w:r w:rsidR="00E02509">
        <w:t xml:space="preserve">. V prezentaci jsem se snažila tuto metodu jaksi „napadnout” </w:t>
      </w:r>
      <w:r w:rsidR="00D073F9">
        <w:t xml:space="preserve">tvrzením, že data nejsou ověřitelná </w:t>
      </w:r>
      <w:r w:rsidR="00EC21F5">
        <w:t xml:space="preserve">a nejsou tudíž dostatečně validní. Po diskusi, která následovala </w:t>
      </w:r>
      <w:r w:rsidR="007F5FF8">
        <w:t>jsem si uvědomila, že</w:t>
      </w:r>
      <w:r w:rsidR="003D042C">
        <w:t xml:space="preserve"> tento fakt etnografii neubírá. Vzpomínky mohou být totiž velmi intenzivní a </w:t>
      </w:r>
      <w:r w:rsidR="00451CED">
        <w:t>na některé momenty našeho života můžeme dodnes vzpomínat velmi živě a konkrétně.</w:t>
      </w:r>
      <w:r w:rsidR="008D69C6">
        <w:t xml:space="preserve"> Jedná se o jeho vlastní zkušenost zabarvenou jeho vnímáním a jako etnografie to funguje. Je to ale zajímavé, protože u většiny etnografií etnografové vstupují do prostředí s myšlenkou, že z toho vznikne výsledná práce. </w:t>
      </w:r>
      <w:r w:rsidR="00674D2F">
        <w:t xml:space="preserve">Tato skutečnost lze propojit i s kapitolou učebnice „Choice or </w:t>
      </w:r>
      <w:proofErr w:type="spellStart"/>
      <w:r w:rsidR="00674D2F">
        <w:lastRenderedPageBreak/>
        <w:t>change</w:t>
      </w:r>
      <w:proofErr w:type="spellEnd"/>
      <w:r w:rsidR="00674D2F">
        <w:t xml:space="preserve"> of </w:t>
      </w:r>
      <w:proofErr w:type="spellStart"/>
      <w:r w:rsidR="00674D2F">
        <w:t>topic</w:t>
      </w:r>
      <w:proofErr w:type="spellEnd"/>
      <w:r w:rsidR="00674D2F">
        <w:t xml:space="preserve">”, jelikož </w:t>
      </w:r>
      <w:r w:rsidR="0027143E">
        <w:t xml:space="preserve">právě toto je na </w:t>
      </w:r>
      <w:proofErr w:type="spellStart"/>
      <w:r w:rsidR="0027143E">
        <w:t>Horáčkově</w:t>
      </w:r>
      <w:proofErr w:type="spellEnd"/>
      <w:r w:rsidR="0027143E">
        <w:t xml:space="preserve"> etnografii zajímavé. Právě onen fakt, že se až později ve svém životě rozhodl o své vlastní zkušenosti pojednávat</w:t>
      </w:r>
      <w:r w:rsidR="0093692A">
        <w:t xml:space="preserve"> a dovedlo ho k tomu studium antropologie. </w:t>
      </w:r>
    </w:p>
    <w:p w14:paraId="4B3D1FE7" w14:textId="0FFC7423" w:rsidR="002D2075" w:rsidRPr="0045172B" w:rsidRDefault="005C199E" w:rsidP="0045570F">
      <w:pPr>
        <w:spacing w:line="360" w:lineRule="auto"/>
        <w:jc w:val="both"/>
        <w:rPr>
          <w:b/>
          <w:bCs/>
        </w:rPr>
      </w:pPr>
      <w:r w:rsidRPr="0045172B">
        <w:rPr>
          <w:b/>
          <w:bCs/>
        </w:rPr>
        <w:t>Argot</w:t>
      </w:r>
    </w:p>
    <w:p w14:paraId="35A43FE3" w14:textId="7933B5B0" w:rsidR="00AC7955" w:rsidRDefault="00EC0584" w:rsidP="0045570F">
      <w:pPr>
        <w:spacing w:line="360" w:lineRule="auto"/>
        <w:jc w:val="both"/>
      </w:pPr>
      <w:r>
        <w:t xml:space="preserve">Etnografie </w:t>
      </w:r>
      <w:proofErr w:type="spellStart"/>
      <w:r>
        <w:t>Horáčka</w:t>
      </w:r>
      <w:proofErr w:type="spellEnd"/>
      <w:r>
        <w:t xml:space="preserve"> nám poskytuje i vhled do specifického jazyka, který byl v hazardním prostředí používán. Například „myš” a „kořen” rozdělovala hráče na zkušené a nezkušené. Citace „Kořeny si ochrupálvej s citem” </w:t>
      </w:r>
      <w:r w:rsidR="007910D8">
        <w:t>odkazovala k</w:t>
      </w:r>
      <w:r w:rsidR="00DF1B09">
        <w:t> </w:t>
      </w:r>
      <w:r w:rsidR="007910D8">
        <w:t>přístupu zkušen</w:t>
      </w:r>
      <w:r w:rsidR="00DF1B09">
        <w:t>ých</w:t>
      </w:r>
      <w:r w:rsidR="007910D8">
        <w:t xml:space="preserve"> hráč</w:t>
      </w:r>
      <w:r w:rsidR="00DF1B09">
        <w:t>ů k nezkušeným, kterým zajistili, aby je udrželi v herním prostředí</w:t>
      </w:r>
      <w:r w:rsidR="00116DB9">
        <w:t xml:space="preserve">. Když totiž „kořen” hned ze začátku vše prohrál, motivace </w:t>
      </w:r>
      <w:r w:rsidR="00E83148">
        <w:t xml:space="preserve">dále hrát </w:t>
      </w:r>
      <w:r w:rsidR="00116DB9">
        <w:t xml:space="preserve">zmizela spolu s jeho účastí. </w:t>
      </w:r>
    </w:p>
    <w:p w14:paraId="71FF8512" w14:textId="5DA621F2" w:rsidR="00AC7955" w:rsidRPr="0045172B" w:rsidRDefault="006C7321" w:rsidP="0045570F">
      <w:pPr>
        <w:spacing w:line="360" w:lineRule="auto"/>
        <w:jc w:val="both"/>
        <w:rPr>
          <w:b/>
          <w:bCs/>
        </w:rPr>
      </w:pPr>
      <w:r w:rsidRPr="0045172B">
        <w:rPr>
          <w:b/>
          <w:bCs/>
        </w:rPr>
        <w:t xml:space="preserve">Unit, Region and </w:t>
      </w:r>
      <w:proofErr w:type="spellStart"/>
      <w:r w:rsidRPr="0045172B">
        <w:rPr>
          <w:b/>
          <w:bCs/>
        </w:rPr>
        <w:t>Locality</w:t>
      </w:r>
      <w:proofErr w:type="spellEnd"/>
    </w:p>
    <w:p w14:paraId="668E75DE" w14:textId="761AD77E" w:rsidR="00E9770F" w:rsidRDefault="00FB2D00" w:rsidP="0045570F">
      <w:pPr>
        <w:spacing w:line="360" w:lineRule="auto"/>
        <w:jc w:val="both"/>
      </w:pPr>
      <w:r>
        <w:t xml:space="preserve">Habitus hazardního hráče jsem se pokusila propojit s kapitolou Unit, Region and </w:t>
      </w:r>
      <w:proofErr w:type="spellStart"/>
      <w:r>
        <w:t>Locality</w:t>
      </w:r>
      <w:proofErr w:type="spellEnd"/>
      <w:r>
        <w:t xml:space="preserve">, kde tyto pojmy lze napasovat na hazardní prostředí. </w:t>
      </w:r>
      <w:r w:rsidR="005A6646">
        <w:t>Hráče můžeme vnímat jako Unit</w:t>
      </w:r>
      <w:r w:rsidR="00C41519">
        <w:t>. D</w:t>
      </w:r>
      <w:r w:rsidR="005A6646">
        <w:t xml:space="preserve">ále </w:t>
      </w:r>
      <w:r w:rsidR="00C41519">
        <w:t>hernu, v tomto případě kavárnu U Nováků jako Region. A nakonec samotný stůl</w:t>
      </w:r>
      <w:r w:rsidR="006A43DD">
        <w:t xml:space="preserve"> </w:t>
      </w:r>
      <w:r w:rsidR="00C41519">
        <w:t xml:space="preserve">nebo bar jako </w:t>
      </w:r>
      <w:proofErr w:type="spellStart"/>
      <w:r w:rsidR="00C41519">
        <w:t>Locality</w:t>
      </w:r>
      <w:proofErr w:type="spellEnd"/>
      <w:r w:rsidR="00C41519">
        <w:t xml:space="preserve">. </w:t>
      </w:r>
      <w:r w:rsidR="001B2807">
        <w:t xml:space="preserve">Toto místo, kde se hráči scházeli, bylo pro ně více než fyzickým prostorem. </w:t>
      </w:r>
      <w:r w:rsidR="00BB7E3C">
        <w:t>Bylo to místo s pravidly, kde se odehrávaly sociální interakce</w:t>
      </w:r>
      <w:r w:rsidR="00C508CF">
        <w:t xml:space="preserve">. Byla zde potřeba určitá orientace v tomto </w:t>
      </w:r>
      <w:r w:rsidR="0093692A">
        <w:t>prostředí,</w:t>
      </w:r>
      <w:r w:rsidR="00C508CF">
        <w:t xml:space="preserve"> a především zde nacházeli smysl a identitu. </w:t>
      </w:r>
      <w:r w:rsidR="004E7BCC">
        <w:t>Identita hráče se lišila od identity občana. Přede dveřmi kavárny zanechávali svá pravá jména a nahrazovali je přezdívkami</w:t>
      </w:r>
      <w:r w:rsidR="00123856">
        <w:t>.</w:t>
      </w:r>
      <w:r w:rsidR="00394F2B">
        <w:t xml:space="preserve"> „</w:t>
      </w:r>
      <w:r w:rsidR="00394F2B" w:rsidRPr="00394F2B">
        <w:t>O podobě své existence před těmi dveřmi nikdo nemluvil, a nikoho ani nezajímala”</w:t>
      </w:r>
      <w:r w:rsidR="00394F2B">
        <w:t>. Pokud se hráči setkali v neherním prostředí, nejen že dělali, že se neznají</w:t>
      </w:r>
      <w:r w:rsidR="001300DE">
        <w:t xml:space="preserve">, ale byla to pro ně velmi nepříjemná </w:t>
      </w:r>
      <w:r w:rsidR="001B70E7">
        <w:t xml:space="preserve">a nežádaná </w:t>
      </w:r>
      <w:r w:rsidR="001300DE">
        <w:t>situace.</w:t>
      </w:r>
      <w:r w:rsidR="00B5140D">
        <w:t xml:space="preserve"> Prostředí bylo velmi </w:t>
      </w:r>
      <w:proofErr w:type="spellStart"/>
      <w:r w:rsidR="00B5140D">
        <w:t>diverzitním</w:t>
      </w:r>
      <w:proofErr w:type="spellEnd"/>
      <w:r w:rsidR="00B5140D">
        <w:t xml:space="preserve">. Scházeli se zde lidé, kteří by se v občanském světě těžko sekat mohli. Vzdělaní, nevzdělaní, homosexuálové, heterosexuálové, vzorní občané, kriminálníci, rozvedení, ženatí, </w:t>
      </w:r>
      <w:r w:rsidR="00BF4577">
        <w:t>sportovci, akademici</w:t>
      </w:r>
      <w:r w:rsidR="00A4559B">
        <w:t>, chudí, bohatí, Češi, Slováci, Romov</w:t>
      </w:r>
      <w:r w:rsidR="00D7739D">
        <w:t>é…Všichni zde byli za jedním účelem a identita ostatní</w:t>
      </w:r>
      <w:r w:rsidR="00EA66B4">
        <w:t>ch</w:t>
      </w:r>
      <w:r w:rsidR="00D7739D">
        <w:t xml:space="preserve"> nebyla jejich zájmem. Jejich zájmem totiž byla hra a díky ní </w:t>
      </w:r>
      <w:r w:rsidR="00560C82">
        <w:t xml:space="preserve">se uskutečňovali. </w:t>
      </w:r>
      <w:r w:rsidR="00B5140D">
        <w:t xml:space="preserve"> </w:t>
      </w:r>
    </w:p>
    <w:p w14:paraId="1E0BF986" w14:textId="25CA5AC4" w:rsidR="00B5140D" w:rsidRDefault="00B5140D" w:rsidP="0045570F">
      <w:pPr>
        <w:spacing w:line="360" w:lineRule="auto"/>
        <w:jc w:val="both"/>
      </w:pPr>
    </w:p>
    <w:p w14:paraId="6C37C017" w14:textId="527ED3C1" w:rsidR="00C508CF" w:rsidRPr="0045172B" w:rsidRDefault="00732B45" w:rsidP="0045570F">
      <w:pPr>
        <w:spacing w:line="360" w:lineRule="auto"/>
        <w:jc w:val="both"/>
        <w:rPr>
          <w:b/>
          <w:bCs/>
        </w:rPr>
      </w:pPr>
      <w:r w:rsidRPr="0045172B">
        <w:rPr>
          <w:b/>
          <w:bCs/>
        </w:rPr>
        <w:t>Uskutečňování se</w:t>
      </w:r>
    </w:p>
    <w:p w14:paraId="128482C8" w14:textId="4CAB4E7E" w:rsidR="00E97250" w:rsidRDefault="00E95116" w:rsidP="0045570F">
      <w:pPr>
        <w:spacing w:line="360" w:lineRule="auto"/>
        <w:jc w:val="both"/>
      </w:pPr>
      <w:r>
        <w:t>„</w:t>
      </w:r>
      <w:r w:rsidRPr="00E95116">
        <w:t xml:space="preserve">Hráčů v zadním traktu kavárny U Nováků valem přibývalo. Čemu se věnovali, než </w:t>
      </w:r>
      <w:r w:rsidR="00771BFC" w:rsidRPr="00E95116">
        <w:t>prošli</w:t>
      </w:r>
      <w:r w:rsidR="00771BFC">
        <w:t xml:space="preserve"> </w:t>
      </w:r>
      <w:r w:rsidR="00771BFC" w:rsidRPr="00E95116">
        <w:t>dveřmi</w:t>
      </w:r>
      <w:r w:rsidRPr="00E95116">
        <w:t xml:space="preserve"> na hranici ”obyčejného” a hráčského světa?</w:t>
      </w:r>
      <w:r w:rsidR="00186545">
        <w:t xml:space="preserve"> </w:t>
      </w:r>
      <w:r w:rsidRPr="00E95116">
        <w:t xml:space="preserve">Ať to bylo cokoli, vynořovali se ze </w:t>
      </w:r>
      <w:r w:rsidRPr="00E95116">
        <w:lastRenderedPageBreak/>
        <w:t>sociální sítě pracujících, kteří zpravidla neměli proč pracovat. Pobyt v té síni nepovažovali za vhodný jména, ale j</w:t>
      </w:r>
      <w:r w:rsidR="00186545">
        <w:t>e</w:t>
      </w:r>
      <w:r w:rsidRPr="00E95116">
        <w:t>n za čekání, patrně nezbytné, na život “na hře”</w:t>
      </w:r>
      <w:r w:rsidR="005F75A7">
        <w:t>.</w:t>
      </w:r>
      <w:r w:rsidR="00186545">
        <w:t xml:space="preserve"> </w:t>
      </w:r>
      <w:r w:rsidR="00186545" w:rsidRPr="00186545">
        <w:t xml:space="preserve">Pouze tam, uprostřed lomozu nabízejících se a vzápětí mizejících příležitostí, se člověk svými skutky mohl uskutečňovat a jenom sám sobě a osobní přízni či nepřízni tajuplné síly, která řídila náhodu, přičítat své nezdary i úspěchy. </w:t>
      </w:r>
      <w:r w:rsidR="00560DDA">
        <w:t xml:space="preserve">O </w:t>
      </w:r>
      <w:r w:rsidR="00186545" w:rsidRPr="00186545">
        <w:t xml:space="preserve">podobě své existence před těmi dveřmi nikdo nemluvil, a nikoho ani nezajímala; i </w:t>
      </w:r>
      <w:proofErr w:type="spellStart"/>
      <w:r w:rsidR="00186545" w:rsidRPr="00186545">
        <w:t>sebezelenější</w:t>
      </w:r>
      <w:proofErr w:type="spellEnd"/>
      <w:r w:rsidR="00186545" w:rsidRPr="00186545">
        <w:t xml:space="preserve"> zelenáči tohle nevyřčené pravidlo okamžitě vycítili. Nikoho proto nepřekvapovalo, že příchozí vesměs nechávali přede dveřmi i svá občanská jména.</w:t>
      </w:r>
      <w:r w:rsidR="00E97250">
        <w:t xml:space="preserve">” Tato citace z knihy hezky vystihuje princip uskutečňování se hráčů. Nacházeli zde svou identitu a vlastně ani nešlo o to, zda prohráli či vyhráli danou hru. Šlo o samotný akt toho, že si na to mohli vsadit, na svou svobodu, na sebe. </w:t>
      </w:r>
      <w:r w:rsidR="006D786C">
        <w:t xml:space="preserve">Pokud si totiž člověk na sebe, svůj názor nemohl vsadit, kdo by ho bral vážně? Finance z hazardu byly financemi pro hazard, nepoužívali se na život, na občanský život. </w:t>
      </w:r>
      <w:r w:rsidR="00930768">
        <w:t xml:space="preserve">Hráči se zkrátka pod rouškou jakési anonymity scházeli a uskutečňovali se v daném prostředí. </w:t>
      </w:r>
    </w:p>
    <w:p w14:paraId="7BCE8663" w14:textId="77777777" w:rsidR="000875D7" w:rsidRDefault="000875D7" w:rsidP="0045570F">
      <w:pPr>
        <w:spacing w:line="360" w:lineRule="auto"/>
        <w:jc w:val="both"/>
      </w:pPr>
    </w:p>
    <w:p w14:paraId="3B71352B" w14:textId="243E6B30" w:rsidR="000875D7" w:rsidRPr="0045172B" w:rsidRDefault="007155DD" w:rsidP="0045570F">
      <w:pPr>
        <w:spacing w:line="360" w:lineRule="auto"/>
        <w:jc w:val="both"/>
        <w:rPr>
          <w:b/>
          <w:bCs/>
        </w:rPr>
      </w:pPr>
      <w:r w:rsidRPr="0045172B">
        <w:rPr>
          <w:b/>
          <w:bCs/>
        </w:rPr>
        <w:t>Zdroje:</w:t>
      </w:r>
    </w:p>
    <w:p w14:paraId="6ECD3CA2" w14:textId="77777777" w:rsidR="007155DD" w:rsidRDefault="007155DD" w:rsidP="0045570F">
      <w:pPr>
        <w:spacing w:line="360" w:lineRule="auto"/>
        <w:jc w:val="both"/>
      </w:pPr>
      <w:r>
        <w:t>HORÁČEK, Michal. Habitus hazardního hráče: etnografická rekonstrukce. Praha: NLN, Nakladatelství Lidové noviny, 2012. ISBN 978-80-7422-187-3.</w:t>
      </w:r>
    </w:p>
    <w:p w14:paraId="48700992" w14:textId="529C063E" w:rsidR="007155DD" w:rsidRDefault="007155DD" w:rsidP="0045570F">
      <w:pPr>
        <w:spacing w:line="360" w:lineRule="auto"/>
        <w:jc w:val="both"/>
      </w:pPr>
      <w:r>
        <w:t>OKELY, Judith. </w:t>
      </w:r>
      <w:proofErr w:type="spellStart"/>
      <w:r>
        <w:t>Anthropological</w:t>
      </w:r>
      <w:proofErr w:type="spellEnd"/>
      <w:r>
        <w:t xml:space="preserve"> practice: </w:t>
      </w:r>
      <w:proofErr w:type="spellStart"/>
      <w:r>
        <w:t>fieldwork</w:t>
      </w:r>
      <w:proofErr w:type="spellEnd"/>
      <w:r>
        <w:t xml:space="preserve"> and the </w:t>
      </w:r>
      <w:proofErr w:type="spellStart"/>
      <w:r>
        <w:t>ethnographic</w:t>
      </w:r>
      <w:proofErr w:type="spellEnd"/>
      <w:r>
        <w:t xml:space="preserve"> method. London: BERG, 2012. ISBN 978-1-8452-0603-1.</w:t>
      </w:r>
    </w:p>
    <w:p w14:paraId="6117638C" w14:textId="77777777" w:rsidR="00AC7955" w:rsidRPr="00AC7955" w:rsidRDefault="00AC7955" w:rsidP="0045570F">
      <w:pPr>
        <w:spacing w:line="360" w:lineRule="auto"/>
        <w:jc w:val="both"/>
      </w:pPr>
    </w:p>
    <w:sectPr w:rsidR="00AC7955" w:rsidRPr="00AC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64941" w14:textId="77777777" w:rsidR="004F4C42" w:rsidRDefault="004F4C42" w:rsidP="005C0EEF">
      <w:pPr>
        <w:spacing w:after="0" w:line="240" w:lineRule="auto"/>
      </w:pPr>
      <w:r>
        <w:separator/>
      </w:r>
    </w:p>
  </w:endnote>
  <w:endnote w:type="continuationSeparator" w:id="0">
    <w:p w14:paraId="3611705E" w14:textId="77777777" w:rsidR="004F4C42" w:rsidRDefault="004F4C42" w:rsidP="005C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44C95" w14:textId="77777777" w:rsidR="004F4C42" w:rsidRDefault="004F4C42" w:rsidP="005C0EEF">
      <w:pPr>
        <w:spacing w:after="0" w:line="240" w:lineRule="auto"/>
      </w:pPr>
      <w:r>
        <w:separator/>
      </w:r>
    </w:p>
  </w:footnote>
  <w:footnote w:type="continuationSeparator" w:id="0">
    <w:p w14:paraId="01EEBC51" w14:textId="77777777" w:rsidR="004F4C42" w:rsidRDefault="004F4C42" w:rsidP="005C0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B7F01"/>
    <w:multiLevelType w:val="hybridMultilevel"/>
    <w:tmpl w:val="FFFFFFFF"/>
    <w:lvl w:ilvl="0" w:tplc="3120ED4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E3B3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45DE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46E3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A444B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AC72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C743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46FC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27DE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0193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0B"/>
    <w:rsid w:val="0001141B"/>
    <w:rsid w:val="00040A6F"/>
    <w:rsid w:val="00071124"/>
    <w:rsid w:val="000875D7"/>
    <w:rsid w:val="00116DB9"/>
    <w:rsid w:val="00123856"/>
    <w:rsid w:val="001300DE"/>
    <w:rsid w:val="00166737"/>
    <w:rsid w:val="00186545"/>
    <w:rsid w:val="001A4211"/>
    <w:rsid w:val="001B2807"/>
    <w:rsid w:val="001B70E7"/>
    <w:rsid w:val="00205F76"/>
    <w:rsid w:val="002615B3"/>
    <w:rsid w:val="0027143E"/>
    <w:rsid w:val="002D2075"/>
    <w:rsid w:val="0036616C"/>
    <w:rsid w:val="00394F2B"/>
    <w:rsid w:val="003D042C"/>
    <w:rsid w:val="0042241F"/>
    <w:rsid w:val="00441DDE"/>
    <w:rsid w:val="0045172B"/>
    <w:rsid w:val="00451CED"/>
    <w:rsid w:val="0045570F"/>
    <w:rsid w:val="004E7BCC"/>
    <w:rsid w:val="004F4C42"/>
    <w:rsid w:val="00506197"/>
    <w:rsid w:val="00556C33"/>
    <w:rsid w:val="00560C82"/>
    <w:rsid w:val="00560DDA"/>
    <w:rsid w:val="005A6646"/>
    <w:rsid w:val="005C0EEF"/>
    <w:rsid w:val="005C199E"/>
    <w:rsid w:val="005F75A7"/>
    <w:rsid w:val="0060438B"/>
    <w:rsid w:val="00631665"/>
    <w:rsid w:val="00674D2F"/>
    <w:rsid w:val="006A43DD"/>
    <w:rsid w:val="006C1D9B"/>
    <w:rsid w:val="006C7321"/>
    <w:rsid w:val="006D786C"/>
    <w:rsid w:val="007155DD"/>
    <w:rsid w:val="00732B45"/>
    <w:rsid w:val="00741ADC"/>
    <w:rsid w:val="00755616"/>
    <w:rsid w:val="00771BFC"/>
    <w:rsid w:val="007910D8"/>
    <w:rsid w:val="007F5FF8"/>
    <w:rsid w:val="008134E1"/>
    <w:rsid w:val="008406AD"/>
    <w:rsid w:val="008D69C6"/>
    <w:rsid w:val="00930768"/>
    <w:rsid w:val="0093692A"/>
    <w:rsid w:val="009E5AFF"/>
    <w:rsid w:val="00A4559B"/>
    <w:rsid w:val="00AA0BE7"/>
    <w:rsid w:val="00AC7955"/>
    <w:rsid w:val="00B063F0"/>
    <w:rsid w:val="00B5140D"/>
    <w:rsid w:val="00B920BC"/>
    <w:rsid w:val="00BB6371"/>
    <w:rsid w:val="00BB700B"/>
    <w:rsid w:val="00BB7E3C"/>
    <w:rsid w:val="00BC488C"/>
    <w:rsid w:val="00BF1218"/>
    <w:rsid w:val="00BF4577"/>
    <w:rsid w:val="00C376C7"/>
    <w:rsid w:val="00C41519"/>
    <w:rsid w:val="00C508CF"/>
    <w:rsid w:val="00D073F9"/>
    <w:rsid w:val="00D72EFB"/>
    <w:rsid w:val="00D7739D"/>
    <w:rsid w:val="00DA190D"/>
    <w:rsid w:val="00DC4AE7"/>
    <w:rsid w:val="00DE007B"/>
    <w:rsid w:val="00DF1B09"/>
    <w:rsid w:val="00E02509"/>
    <w:rsid w:val="00E24A4D"/>
    <w:rsid w:val="00E83148"/>
    <w:rsid w:val="00E95116"/>
    <w:rsid w:val="00E97250"/>
    <w:rsid w:val="00E9770F"/>
    <w:rsid w:val="00EA66B4"/>
    <w:rsid w:val="00EC0584"/>
    <w:rsid w:val="00EC21F5"/>
    <w:rsid w:val="00F37EE3"/>
    <w:rsid w:val="00F548D2"/>
    <w:rsid w:val="00F671B0"/>
    <w:rsid w:val="00FB2D00"/>
    <w:rsid w:val="00FC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089345"/>
  <w15:chartTrackingRefBased/>
  <w15:docId w15:val="{490CB102-F758-2447-80C3-B750D787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7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7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7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7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7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7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7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7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7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7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7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7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70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70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70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70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70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70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7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7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7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7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7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70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70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70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7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70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700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C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EEF"/>
  </w:style>
  <w:style w:type="paragraph" w:styleId="Zpat">
    <w:name w:val="footer"/>
    <w:basedOn w:val="Normln"/>
    <w:link w:val="ZpatChar"/>
    <w:uiPriority w:val="99"/>
    <w:unhideWhenUsed/>
    <w:rsid w:val="005C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281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Řeháková</dc:creator>
  <cp:keywords/>
  <dc:description/>
  <cp:lastModifiedBy>Nela Řeháková</cp:lastModifiedBy>
  <cp:revision>2</cp:revision>
  <dcterms:created xsi:type="dcterms:W3CDTF">2024-11-18T20:29:00Z</dcterms:created>
  <dcterms:modified xsi:type="dcterms:W3CDTF">2024-11-18T20:29:00Z</dcterms:modified>
</cp:coreProperties>
</file>