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A1" w:rsidRDefault="00A90D0A">
      <w:pPr>
        <w:pStyle w:val="Nzev"/>
      </w:pPr>
      <w:bookmarkStart w:id="0" w:name="_gjdgxs" w:colFirst="0" w:colLast="0"/>
      <w:bookmarkEnd w:id="0"/>
      <w:r>
        <w:t>Jak psát akademickou esej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5778500</wp:posOffset>
            </wp:positionH>
            <wp:positionV relativeFrom="paragraph">
              <wp:posOffset>-163192</wp:posOffset>
            </wp:positionV>
            <wp:extent cx="1035685" cy="1207978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12079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18A1" w:rsidRDefault="00A90D0A">
      <w:pPr>
        <w:pStyle w:val="Nadpis1"/>
      </w:pPr>
      <w:r>
        <w:t>Jaromír Škoda &amp; Barbora Straka</w:t>
      </w:r>
      <w:bookmarkStart w:id="1" w:name="_GoBack"/>
      <w:bookmarkEnd w:id="1"/>
    </w:p>
    <w:p w:rsidR="004018A1" w:rsidRDefault="00A90D0A">
      <w:pPr>
        <w:spacing w:after="0"/>
        <w:rPr>
          <w:color w:val="ED1C29"/>
          <w:sz w:val="24"/>
          <w:szCs w:val="24"/>
        </w:rPr>
      </w:pPr>
      <w:r>
        <w:rPr>
          <w:color w:val="ED1C29"/>
          <w:sz w:val="24"/>
          <w:szCs w:val="24"/>
        </w:rPr>
        <w:t>Kontakt: jaromir.skoda@lfmotol.cuni.cz, barbora.straka@fnmotol.cz</w:t>
      </w:r>
    </w:p>
    <w:p w:rsidR="004018A1" w:rsidRDefault="00A90D0A">
      <w:pPr>
        <w:rPr>
          <w:color w:val="ED1C29"/>
          <w:sz w:val="36"/>
          <w:szCs w:val="36"/>
        </w:rPr>
        <w:sectPr w:rsidR="004018A1">
          <w:headerReference w:type="default" r:id="rId8"/>
          <w:footerReference w:type="default" r:id="rId9"/>
          <w:pgSz w:w="11906" w:h="16838"/>
          <w:pgMar w:top="720" w:right="720" w:bottom="720" w:left="720" w:header="397" w:footer="397" w:gutter="0"/>
          <w:pgNumType w:start="1"/>
          <w:cols w:space="708"/>
        </w:sectPr>
      </w:pPr>
      <w:r>
        <w:rPr>
          <w:color w:val="ED1C29"/>
          <w:sz w:val="36"/>
          <w:szCs w:val="36"/>
        </w:rPr>
        <w:t>…….………………………………………………………………….………………………</w:t>
      </w:r>
    </w:p>
    <w:p w:rsidR="004018A1" w:rsidRDefault="00A90D0A">
      <w:pPr>
        <w:rPr>
          <w:b/>
        </w:rPr>
      </w:pPr>
      <w:r>
        <w:rPr>
          <w:b/>
        </w:rPr>
        <w:t xml:space="preserve">Akademické eseje v předmětu Bioetika a psychologie I. slouží k seznámení a systematické analýze medicínsko-etických problémů. Dobrá praxe psaní akademických textů odděluje amatérský a profesionální přístup k psaní, přemýšlení a ke studiu obecně. Je jisté, </w:t>
      </w:r>
      <w:r>
        <w:rPr>
          <w:b/>
        </w:rPr>
        <w:t>že dobrý obsah je základem dobré práce, ale dobrý obsah bez adekvátní formy postrádá smysl. Ačkoliv formy se liší mezi jednotlivci a institucemi, existují pravidla, která oddělují kvalitní a nekvalitní texty. Zde vám předkládáme požadavky na vaši esej, tip</w:t>
      </w:r>
      <w:r>
        <w:rPr>
          <w:b/>
        </w:rPr>
        <w:t>y pro psaní a ukázky častých chyb. Zároveň tento text slouží jako šablona.</w:t>
      </w:r>
    </w:p>
    <w:p w:rsidR="004018A1" w:rsidRDefault="00A90D0A">
      <w:r>
        <w:rPr>
          <w:i/>
        </w:rPr>
        <w:t>Klíčová slova:</w:t>
      </w:r>
      <w:r>
        <w:t xml:space="preserve"> akademické psaní, esej, formátování, argumentace</w:t>
      </w:r>
    </w:p>
    <w:p w:rsidR="004018A1" w:rsidRDefault="00A90D0A">
      <w:pPr>
        <w:pStyle w:val="Nadpis3"/>
      </w:pPr>
      <w:r>
        <w:t>Úvod</w:t>
      </w:r>
    </w:p>
    <w:p w:rsidR="004018A1" w:rsidRDefault="00A90D0A">
      <w:r>
        <w:t>V předmětu bioetika a psychologie se v prvním ročníku věnujeme představení etických teorií a zajímavých medicínsko-etických dilemat. Ačkoliv je etika filozofickou disciplínou, není našim cílem posuzovat vaše filozofické znalosti</w:t>
      </w:r>
      <w:r>
        <w:rPr>
          <w:color w:val="FF0000"/>
        </w:rPr>
        <w:t xml:space="preserve"> </w:t>
      </w:r>
      <w:r>
        <w:t xml:space="preserve">– nakonec, jste studenti a </w:t>
      </w:r>
      <w:r>
        <w:t>studentky medicíny. Na druhou stranu, medicína má také své humanitní základy, které nám umožňují podívat se na složité situace v medicíně z jiné perspektivy: můžeme léčit opravdu kohokoliv a za všech okolností? Opravdu přistupujeme ke všem pacientům stejně</w:t>
      </w:r>
      <w:r>
        <w:t>? Jakým způsobem lze nastavit vztahy mezi zdravotníky a pacienty? K tomu, abyste se naučili nad těmito problémy systematicky přemýšlet a vyhnuli jste se pouhým nepodloženým názorům a pocitům, slouží úkol psaní akademické eseje. Cílem tohoto textu je předst</w:t>
      </w:r>
      <w:r>
        <w:t xml:space="preserve">avení toho, jak psát akademickou esej z hlediska formy i obsahu. Ohledně obsahu předkládáme několik tipů k argumentaci a ilustraci (textové a grafické) a poukazujeme na to, čemu se v textu vyvarovat – např. analogiím a dalším argumentačním faulům. V rámci </w:t>
      </w:r>
      <w:r>
        <w:t>formy se podíváme na gramatiku, stylistiku, strukturování a grafiku. V závěru textu se dozvíte nároky na vaši práci.</w:t>
      </w:r>
    </w:p>
    <w:p w:rsidR="004018A1" w:rsidRDefault="004018A1">
      <w:pPr>
        <w:rPr>
          <w:smallCaps/>
          <w:color w:val="ED1C29"/>
          <w:sz w:val="24"/>
          <w:szCs w:val="24"/>
        </w:rPr>
      </w:pPr>
    </w:p>
    <w:p w:rsidR="004018A1" w:rsidRDefault="004018A1">
      <w:pPr>
        <w:rPr>
          <w:smallCaps/>
          <w:color w:val="ED1C29"/>
          <w:sz w:val="24"/>
          <w:szCs w:val="24"/>
        </w:rPr>
      </w:pPr>
    </w:p>
    <w:p w:rsidR="004018A1" w:rsidRDefault="00A90D0A">
      <w:pPr>
        <w:rPr>
          <w:smallCaps/>
          <w:color w:val="ED1C29"/>
          <w:sz w:val="24"/>
          <w:szCs w:val="24"/>
        </w:rPr>
      </w:pPr>
      <w:r>
        <w:rPr>
          <w:smallCaps/>
          <w:color w:val="ED1C29"/>
          <w:sz w:val="24"/>
          <w:szCs w:val="24"/>
        </w:rPr>
        <w:t>Výběr a rozsah tématu</w:t>
      </w:r>
    </w:p>
    <w:p w:rsidR="004018A1" w:rsidRDefault="00A90D0A">
      <w:r>
        <w:t xml:space="preserve">Pro svoji esej si můžete zvolit téma z oblasti jednoho z následujících okruhů: </w:t>
      </w:r>
    </w:p>
    <w:p w:rsidR="004018A1" w:rsidRDefault="00A90D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Etika reprodukčního rozhodování</w:t>
      </w:r>
    </w:p>
    <w:p w:rsidR="004018A1" w:rsidRDefault="00A90D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Eti</w:t>
      </w:r>
      <w:r>
        <w:rPr>
          <w:color w:val="000000"/>
        </w:rPr>
        <w:t>ka v pediatrii.</w:t>
      </w:r>
    </w:p>
    <w:p w:rsidR="004018A1" w:rsidRDefault="00A90D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Etika v závěru života.</w:t>
      </w:r>
    </w:p>
    <w:p w:rsidR="004018A1" w:rsidRDefault="00A90D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Pacient ve společenském kontextu</w:t>
      </w:r>
    </w:p>
    <w:p w:rsidR="004018A1" w:rsidRDefault="00A90D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Etika těla/tělesnosti pacienta.</w:t>
      </w:r>
    </w:p>
    <w:p w:rsidR="004018A1" w:rsidRDefault="00A90D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Etika futurologie.</w:t>
      </w:r>
    </w:p>
    <w:p w:rsidR="004018A1" w:rsidRDefault="00A90D0A">
      <w:r>
        <w:t>„Není ctností etické teorie dělat ze složitých problémů jednoduché.“ Není to ctností ani vaší eseje. Neočekáváme, že vyřešíte dilemata, s kterými se v medicíně potýkáme posledních několik desetiletí. Taktéž ale nechceme, abyste vaši esej uzavřeli bez snahy</w:t>
      </w:r>
      <w:r>
        <w:t xml:space="preserve"> zaujmout argumentované stanovisko stylem: „je to složité, každá strana má svůj názor“. Vyhnout se těmto extrémům můžete tím, že si zvolíte jeden aspekt/problém, který se v rámci daného tématu diskutuje. Při odpovědi na otázku „je eutanázie etická?“ lze sn</w:t>
      </w:r>
      <w:r>
        <w:t xml:space="preserve">adno sklouznout do floskulí a truismů. Naopak, když si položíte otázku „jaké společenské důsledky mělo zavedení eutanázie v Belgii?“, bude vaše esej informačně a argumentačně bohatá a zajímavá. </w:t>
      </w:r>
    </w:p>
    <w:p w:rsidR="004018A1" w:rsidRDefault="00A90D0A">
      <w:pPr>
        <w:pStyle w:val="Nadpis3"/>
      </w:pPr>
      <w:r>
        <w:t>Argumentace</w:t>
      </w:r>
    </w:p>
    <w:p w:rsidR="004018A1" w:rsidRDefault="00A90D0A">
      <w:r>
        <w:t>Tato oblast na vás klade vůbec největší nároky. E</w:t>
      </w:r>
      <w:r>
        <w:t xml:space="preserve">xistuje jasná a mechanická nauka, jak argumentovat. Tu se v našem prostředí naučíte spíše praxí než v rámci studijního předmětu. Nicméně zde je několik základních doporučení. </w:t>
      </w:r>
    </w:p>
    <w:p w:rsidR="004018A1" w:rsidRDefault="00A90D0A">
      <w:r>
        <w:t>Do akademického textu nepatří (vlastní) pocity použité jako argumenty. Emoce pat</w:t>
      </w:r>
      <w:r>
        <w:t>ří do krásné literatury, ale nikdy do akademického textu – včetně filozofických úvah. Příkladem nepřijatelné praxe buď smyšlený příklad závěru: „Přes položené kritiky, je opravdu možné přistoupit na argumenty pro eutanázii? Vždyť se stačí podívat do očí um</w:t>
      </w:r>
      <w:r>
        <w:t>írajících a vidíme</w:t>
      </w:r>
      <w:r>
        <w:rPr>
          <w:sz w:val="16"/>
          <w:szCs w:val="16"/>
        </w:rPr>
        <w:t xml:space="preserve"> </w:t>
      </w:r>
      <w:r>
        <w:t>tu žíznivou touhu po životě.“ Tento smyšlený příklad je dostatečný důvod doporučit pisateli přepsat celou práci. Jak ale následovat dobrou praxi?</w:t>
      </w:r>
    </w:p>
    <w:p w:rsidR="004018A1" w:rsidRDefault="00A90D0A">
      <w:r>
        <w:lastRenderedPageBreak/>
        <w:t>Argumentace je proces a jeho výsledkem je argument. Základní argument se skládá 1. z předpo</w:t>
      </w:r>
      <w:r>
        <w:t>kladů a 2. ze závěru, který plyne z předpokladů. Nejproslulejším příkladem je tento:</w:t>
      </w:r>
    </w:p>
    <w:p w:rsidR="004018A1" w:rsidRDefault="00A90D0A">
      <w:pPr>
        <w:spacing w:after="0"/>
        <w:ind w:left="284" w:right="243"/>
        <w:rPr>
          <w:sz w:val="20"/>
          <w:szCs w:val="20"/>
        </w:rPr>
      </w:pPr>
      <w:r>
        <w:rPr>
          <w:sz w:val="20"/>
          <w:szCs w:val="20"/>
        </w:rPr>
        <w:t xml:space="preserve">př. 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Všichni lidé jsou smrtelní.</w:t>
      </w:r>
    </w:p>
    <w:p w:rsidR="004018A1" w:rsidRDefault="00A90D0A">
      <w:pPr>
        <w:pBdr>
          <w:bottom w:val="single" w:sz="4" w:space="0" w:color="000000"/>
        </w:pBdr>
        <w:spacing w:after="0"/>
        <w:ind w:left="284" w:right="243"/>
        <w:rPr>
          <w:sz w:val="20"/>
          <w:szCs w:val="20"/>
        </w:rPr>
      </w:pPr>
      <w:r>
        <w:rPr>
          <w:sz w:val="20"/>
          <w:szCs w:val="20"/>
        </w:rPr>
        <w:t xml:space="preserve">př. 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Sokrates je člověk.</w:t>
      </w:r>
    </w:p>
    <w:p w:rsidR="004018A1" w:rsidRDefault="00A90D0A">
      <w:pPr>
        <w:ind w:left="284" w:right="243"/>
        <w:rPr>
          <w:sz w:val="20"/>
          <w:szCs w:val="20"/>
        </w:rPr>
      </w:pPr>
      <w:r>
        <w:rPr>
          <w:b/>
          <w:sz w:val="20"/>
          <w:szCs w:val="20"/>
        </w:rPr>
        <w:t>z: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Sokrates je smrtelný</w:t>
      </w:r>
      <w:r>
        <w:rPr>
          <w:sz w:val="20"/>
          <w:szCs w:val="20"/>
        </w:rPr>
        <w:t xml:space="preserve">. </w:t>
      </w:r>
    </w:p>
    <w:p w:rsidR="004018A1" w:rsidRDefault="00A90D0A">
      <w:r>
        <w:t>Akademický text dělá totéž, ale předpoklady jsou rozepsané, případně jich je ví</w:t>
      </w:r>
      <w:r>
        <w:t>c (nejméně ale dva). Ve výzkumných pracech zpravidla jednomu z předpokladů odpovídá hypotéza a druhý předpoklad se skládá z empirických výzkumných zjištění, z nichž by měl pak plynout závěr.</w:t>
      </w:r>
    </w:p>
    <w:p w:rsidR="004018A1" w:rsidRDefault="00A90D0A">
      <w:r>
        <w:t xml:space="preserve">Argumentace je podstatou a obsahem </w:t>
      </w:r>
      <w:r>
        <w:rPr>
          <w:i/>
        </w:rPr>
        <w:t>diskuze</w:t>
      </w:r>
      <w:r>
        <w:t>, která se logicky před</w:t>
      </w:r>
      <w:r>
        <w:t xml:space="preserve">řazuje před </w:t>
      </w:r>
      <w:r>
        <w:rPr>
          <w:i/>
        </w:rPr>
        <w:t>závěr</w:t>
      </w:r>
      <w:r>
        <w:t>. Autor/ka v diskuzi představuje relevantní literaturu, její závěry (vzájemně souhlasné či oponující) a taktéž svůj postoj k jednotlivým argumentům, a dále zdůvodňuje, proč si vybral/a zrovna tu literaturu, kterou uvádí ve zdrojích. Čím ví</w:t>
      </w:r>
      <w:r>
        <w:t>c argumentů a protiargumentů dokážete předložit (a citovat), tím lépe. Je žádoucí prokázat, že se díky studiu zdrojů vyznáte v často protichůdných postojích, které různí autoři v daném tématu zastávají.</w:t>
      </w:r>
    </w:p>
    <w:p w:rsidR="004018A1" w:rsidRDefault="00A90D0A">
      <w:r>
        <w:t>Ke konci diskuze uvádíte možné limity předložené prác</w:t>
      </w:r>
      <w:r>
        <w:t>e, tj. čím byste svoji práci mohli vylepšit, kdybyste měli ideální množství času/energie/zdrojů. Uvádíte, že jste si vědomi vlastních omezení, že víte, kde přesně vaše argumentace „nesedí“ a proč je tomu tak. Autorský záměr je prohloubit chápání problemati</w:t>
      </w:r>
      <w:r>
        <w:t xml:space="preserve">ky, nikoliv „zabarikádovat“ se ve vlastním stanovisku, které nepřipustí následný dialog. Zároveň ale uvedení limitací neomlouvá nedbalost – vynechání klíčového argumentu/zdroje/autora, je chybou, ať už to v limitacích přiznáte, či nikoliv. </w:t>
      </w:r>
    </w:p>
    <w:p w:rsidR="004018A1" w:rsidRDefault="00A90D0A">
      <w:r>
        <w:t>Nezapomínejte t</w:t>
      </w:r>
      <w:r>
        <w:t xml:space="preserve">aké, že po detailní diskuzi předkládáte </w:t>
      </w:r>
      <w:r>
        <w:rPr>
          <w:i/>
        </w:rPr>
        <w:t>závěr</w:t>
      </w:r>
      <w:r>
        <w:t xml:space="preserve"> – to je cíl vaší práce. Závěr by měl ukázat váš vlastní, argumentačně podložený, a pro čtenáře srozumitelný pohled. Od závěru se nelze distancovat. </w:t>
      </w:r>
    </w:p>
    <w:p w:rsidR="004018A1" w:rsidRDefault="00A90D0A">
      <w:r>
        <w:t>Zjednodušeně řečeno celý proces článku vypadá takto: Čtenář m</w:t>
      </w:r>
      <w:r>
        <w:t xml:space="preserve">usí být na základě </w:t>
      </w:r>
      <w:r>
        <w:rPr>
          <w:i/>
        </w:rPr>
        <w:t xml:space="preserve">abstraktu </w:t>
      </w:r>
      <w:r>
        <w:t xml:space="preserve">schopen pochopit, o čem práce je. Na základě </w:t>
      </w:r>
      <w:r>
        <w:rPr>
          <w:i/>
        </w:rPr>
        <w:t>úvodu</w:t>
      </w:r>
      <w:r>
        <w:t xml:space="preserve"> musí porozumět cílům práce. </w:t>
      </w:r>
      <w:r>
        <w:rPr>
          <w:i/>
        </w:rPr>
        <w:t>Závěr</w:t>
      </w:r>
      <w:r>
        <w:t xml:space="preserve"> je pak jasnou, stručnou, ale úplnou odpovědí na vymezené otázky v </w:t>
      </w:r>
      <w:r>
        <w:rPr>
          <w:i/>
        </w:rPr>
        <w:t>úvodu</w:t>
      </w:r>
      <w:r>
        <w:t xml:space="preserve">. Tělo textu obsahující argument pak čtenáři poskytuje možnost pochopit, jak autor k tomu či onomu závěru došel, a pochopitelně se může skládat z řady podkapitol. </w:t>
      </w:r>
    </w:p>
    <w:p w:rsidR="004018A1" w:rsidRDefault="00A90D0A">
      <w:pPr>
        <w:pStyle w:val="Nadpis3"/>
      </w:pPr>
      <w:r>
        <w:t>Ilustrace</w:t>
      </w:r>
    </w:p>
    <w:p w:rsidR="004018A1" w:rsidRDefault="00A90D0A">
      <w:r>
        <w:t xml:space="preserve">Nejedná se pouze o ilustrace grafické v rámci prezentace výzkumných dat, ale může </w:t>
      </w:r>
      <w:r>
        <w:t>se jednat i o ilustraci textovou. Zvláště pokud píšete esej, není nemístné předkládat příklady, na kterých prokazujete své předpoklady i závěry. Poukážete tak na své porozumění předložené argumentaci a zpřístupníte své myšlení čtenáři. Pisatel/ka si také m</w:t>
      </w:r>
      <w:r>
        <w:t>ůže ověřit, jak precizně se ve svém myšlení vyrovnává s protipříklady. Ilustraci lze nicméně snadno zaměnit za argumentační faul „anekdoty“. Jen proto, že někdo někdy něco viděl nebo zažil, neznamená, že z toho lze vyvodit obecný závěr.</w:t>
      </w:r>
    </w:p>
    <w:p w:rsidR="004018A1" w:rsidRDefault="00A90D0A">
      <w:r>
        <w:t>Další příklady argu</w:t>
      </w:r>
      <w:r>
        <w:t>mentačních faulů, které v textu nesmí být, se dozvíte nyní.</w:t>
      </w:r>
    </w:p>
    <w:p w:rsidR="004018A1" w:rsidRDefault="00A90D0A">
      <w:pPr>
        <w:pStyle w:val="Nadpis3"/>
      </w:pPr>
      <w:r>
        <w:t xml:space="preserve">Analogie </w:t>
      </w:r>
    </w:p>
    <w:p w:rsidR="004018A1" w:rsidRDefault="00A90D0A">
      <w:r>
        <w:t>„Život je jako mávnutí motýlích křídel.“ Není. To, co je, je tak, jak to je, a není to, jako něco jiného. Analogie nikdy nemohou sloužit jako argument, protože fungují na přirovnání podstaty skutečnosti A ke skutečnosti B. Příklad této špatné praxe: „O neu</w:t>
      </w:r>
      <w:r>
        <w:t>rovědě z pohledu psychoanalýzy bylo vydáno zhruba tolik procent knih jako o evoluci z pohledu kreacionismu.“ Z tohoto tvrzení nikterak neplyne, že existuje podobnost mezi psychoanalýzou a kreacionismem. Ačkoliv někteří autoři stále promýšlí analogii jako a</w:t>
      </w:r>
      <w:r>
        <w:t>rgument (Hesse, 1964), sami často nedohlíží, že se jejich představy pod vlastními pravidly hroutí. Přirovnání tedy využijete, pokud chcete poukázat na excelenci své stylistiky a při snaze zpřístupnit složitou argumentace čtenáři/čtenářce. Nikoliv jako náhr</w:t>
      </w:r>
      <w:r>
        <w:t xml:space="preserve">adu za argumentaci. </w:t>
      </w:r>
    </w:p>
    <w:p w:rsidR="004018A1" w:rsidRDefault="00A90D0A">
      <w:pPr>
        <w:rPr>
          <w:smallCaps/>
          <w:color w:val="ED1C29"/>
          <w:sz w:val="24"/>
          <w:szCs w:val="24"/>
        </w:rPr>
      </w:pPr>
      <w:r>
        <w:rPr>
          <w:smallCaps/>
          <w:color w:val="ED1C29"/>
          <w:sz w:val="24"/>
          <w:szCs w:val="24"/>
        </w:rPr>
        <w:t>Argumentační fauly</w:t>
      </w:r>
    </w:p>
    <w:p w:rsidR="004018A1" w:rsidRDefault="00A90D0A">
      <w:r>
        <w:t xml:space="preserve">V předchozím textu jsme uvedli hned několik argumentačních faulů: nevhodně použitá analogie, důraz na pocity, anekdota. Kvalitní přehled najdete </w:t>
      </w:r>
      <w:hyperlink r:id="rId10">
        <w:r>
          <w:t>zde</w:t>
        </w:r>
      </w:hyperlink>
      <w:r>
        <w:t xml:space="preserve"> (McCandless, 2012). Skutečnost, že se argumentačních faulů dopouští politici, nebo jejich užití tolerujeme v rámci umělecké licence, nic nemění na skutečnosti, že do akademických textů nepatří – zejména ne na ústavu zabývaj</w:t>
      </w:r>
      <w:r>
        <w:t>ícím se argumentací v etických dilematech.</w:t>
      </w:r>
    </w:p>
    <w:p w:rsidR="004018A1" w:rsidRDefault="00A90D0A">
      <w:pPr>
        <w:pStyle w:val="Nadpis3"/>
      </w:pPr>
      <w:r>
        <w:t xml:space="preserve">Gramatika </w:t>
      </w:r>
    </w:p>
    <w:p w:rsidR="004018A1" w:rsidRDefault="00A90D0A">
      <w:r>
        <w:t>S gramatikou byste měli být obeznámeni z předchozích stupňů vzdělávání. Přesto je zde několik prvků, kterých si editoři při korekcích všímají. Jako například:</w:t>
      </w:r>
    </w:p>
    <w:p w:rsidR="004018A1" w:rsidRDefault="00A90D0A">
      <w:r>
        <w:t xml:space="preserve">Rozdíl mezi spojovníky „-“ a pomlčkami „–“ </w:t>
      </w:r>
      <w:r>
        <w:t xml:space="preserve">(Černá, a další, 2019). Dále je to využití lomítek „/“, které poukazují na alternativnost pojmů. </w:t>
      </w:r>
    </w:p>
    <w:p w:rsidR="004018A1" w:rsidRDefault="00A90D0A">
      <w:r>
        <w:lastRenderedPageBreak/>
        <w:t xml:space="preserve">Významný rozdíl najdeme i u zápisu procent. Mezera mezi číslovkou a znakem určuje význam. Takže přídavné jméno </w:t>
      </w:r>
      <w:r>
        <w:rPr>
          <w:i/>
        </w:rPr>
        <w:t xml:space="preserve">desetiprocentní </w:t>
      </w:r>
      <w:r>
        <w:t xml:space="preserve">(žádná mezera ve slově) můžeme </w:t>
      </w:r>
      <w:r>
        <w:t xml:space="preserve">zapsat jako „10%“. </w:t>
      </w:r>
      <w:r>
        <w:rPr>
          <w:i/>
        </w:rPr>
        <w:t>Deset procent</w:t>
      </w:r>
      <w:r>
        <w:t xml:space="preserve"> (mezera mezi slovy) ovšem zapíšeme jako „10 %“. </w:t>
      </w:r>
    </w:p>
    <w:p w:rsidR="004018A1" w:rsidRDefault="00A90D0A">
      <w:r>
        <w:t xml:space="preserve">Další častou chybou je výskyt dvojitých mezer („  “), které je po napsání textu třeba zkrátit. </w:t>
      </w:r>
    </w:p>
    <w:p w:rsidR="004018A1" w:rsidRDefault="00A90D0A">
      <w:r>
        <w:t xml:space="preserve">Nezapomínejte také na to, že je nutné označit metajazyk např. </w:t>
      </w:r>
      <w:r>
        <w:rPr>
          <w:i/>
        </w:rPr>
        <w:t xml:space="preserve">kurzívou </w:t>
      </w:r>
      <w:r>
        <w:t>nebo uv</w:t>
      </w:r>
      <w:r>
        <w:t xml:space="preserve">ozovkami, např. věta.: „Pojem </w:t>
      </w:r>
      <w:r>
        <w:rPr>
          <w:i/>
        </w:rPr>
        <w:t xml:space="preserve">spravedlnost </w:t>
      </w:r>
      <w:r>
        <w:t xml:space="preserve">[/ „spravedlnost“] v etice znamená […].“ </w:t>
      </w:r>
    </w:p>
    <w:p w:rsidR="004018A1" w:rsidRDefault="00A90D0A">
      <w:pPr>
        <w:pStyle w:val="Nadpis3"/>
      </w:pPr>
      <w:r>
        <w:t>Stylistika</w:t>
      </w:r>
    </w:p>
    <w:p w:rsidR="004018A1" w:rsidRDefault="00A90D0A">
      <w:r>
        <w:t>Napříč textem je vhodné dodržovat jednotný literární styl. Stejně jako všude platí, že jsme v psaní textů jedineční a preferujeme ten či onen způsob. Konzistenc</w:t>
      </w:r>
      <w:r>
        <w:t>e podmiňuje kvalitní formu, kvalitní forma podmiňuje dobrý text.</w:t>
      </w:r>
    </w:p>
    <w:p w:rsidR="004018A1" w:rsidRDefault="00A90D0A">
      <w:r>
        <w:t>Následují frekventovaná stylistická zaváhání:</w:t>
      </w:r>
    </w:p>
    <w:p w:rsidR="004018A1" w:rsidRDefault="00A90D0A">
      <w:r>
        <w:t>Přestože český úzus a literatura užívá rozkazovací způsob „viz“, doporučujeme během akademických studií používat vykání: „vizte“.</w:t>
      </w:r>
    </w:p>
    <w:p w:rsidR="004018A1" w:rsidRDefault="00A90D0A">
      <w:r>
        <w:t xml:space="preserve">Často je třeba </w:t>
      </w:r>
      <w:r>
        <w:t xml:space="preserve">užít příkladů a výčtů. K tomu používám zkratek „např.“ nebo „apod.“. Pamatujte, že se nemohou objevovat v témže výčtu obě. Zkratky by ovšem neměly být upřednostňovány automaticky. </w:t>
      </w:r>
    </w:p>
    <w:p w:rsidR="004018A1" w:rsidRDefault="00A90D0A">
      <w:r>
        <w:t xml:space="preserve">Je nevhodné použít </w:t>
      </w:r>
      <w:r>
        <w:rPr>
          <w:i/>
        </w:rPr>
        <w:t>kurzívu</w:t>
      </w:r>
      <w:r>
        <w:t xml:space="preserve"> tam, kde využíváte </w:t>
      </w:r>
      <w:r>
        <w:rPr>
          <w:b/>
        </w:rPr>
        <w:t>bold</w:t>
      </w:r>
      <w:r>
        <w:t xml:space="preserve"> a naopak.</w:t>
      </w:r>
    </w:p>
    <w:p w:rsidR="004018A1" w:rsidRDefault="00A90D0A">
      <w:r>
        <w:t xml:space="preserve">Čísla </w:t>
      </w:r>
      <w:r>
        <w:rPr>
          <w:i/>
        </w:rPr>
        <w:t>jednoslo</w:t>
      </w:r>
      <w:r>
        <w:rPr>
          <w:i/>
        </w:rPr>
        <w:t>vná</w:t>
      </w:r>
      <w:r>
        <w:t xml:space="preserve"> zapisujeme slovy, ale delší číselné zápisy číslicemi. K tomu je třeba upozornit, že užitý styl písma </w:t>
      </w:r>
      <w:r>
        <w:rPr>
          <w:i/>
        </w:rPr>
        <w:t>Corbel</w:t>
      </w:r>
      <w:r>
        <w:t xml:space="preserve"> nevyrovnává písmo a je třeba v záložce „Písmo – Upřesnit“ nastavit formátování číselných tvarů z „výchozí“ na „vyrovnané“, jak upřesňuje manuál </w:t>
      </w:r>
      <w:r>
        <w:t>pro jednotný vizuální styl 2. LF UK (2017). Povšimněte si na příkladu: chybně: „123456“, správně: „123456“</w:t>
      </w:r>
      <w:r>
        <w:rPr>
          <w:vertAlign w:val="superscript"/>
        </w:rPr>
        <w:footnoteReference w:id="1"/>
      </w:r>
      <w:r>
        <w:t>. Starší verze MS Word tuto funkci nemají a nezobrazí ani novější verze správně. Pokud nevlastníte aktuální MS Word, doporučuji používat k psaní čísl</w:t>
      </w:r>
      <w:r>
        <w:t xml:space="preserve">ic font </w:t>
      </w:r>
      <w:r>
        <w:rPr>
          <w:i/>
        </w:rPr>
        <w:t>Calibri</w:t>
      </w:r>
      <w:r>
        <w:t xml:space="preserve">. </w:t>
      </w:r>
    </w:p>
    <w:p w:rsidR="004018A1" w:rsidRDefault="00A90D0A">
      <w:pPr>
        <w:spacing w:before="240"/>
      </w:pPr>
      <w:r>
        <w:t>Souvětí jsou dalším častým problémem. Přestože barokní způsob nekonečných souvětí má svůj půvab v krásné literatuře, nehodí se pro odborný text. Věty mají být krátké a k věci. Dobrým pravidlem je zkusit si po sobě přečíst celé souvětí. Po</w:t>
      </w:r>
      <w:r>
        <w:t xml:space="preserve">kud to nezvládnete s klidem na jediný nádech, doporučujeme souvětí rozdělit. Nespornou výhodou je jasnější a čistší argumentace. </w:t>
      </w:r>
      <w:r>
        <w:t xml:space="preserve">Nejčastějším výskytem logických nejasností jsou právě málo přehledná souvětí. </w:t>
      </w:r>
    </w:p>
    <w:p w:rsidR="004018A1" w:rsidRDefault="00A90D0A">
      <w:r>
        <w:t xml:space="preserve">Dalším častým problémem jsou cizí slova – ať už </w:t>
      </w:r>
      <w:r>
        <w:t xml:space="preserve">jejich nadužívání nebo užívání v nesprávném kontextu. Pro nadužívání cizích slov se vžil ironický název </w:t>
      </w:r>
      <w:r>
        <w:rPr>
          <w:i/>
        </w:rPr>
        <w:t>obskurantní terorismus</w:t>
      </w:r>
      <w:r>
        <w:t xml:space="preserve"> a jako v případě tohoto pojmenování je dobré se takových pojmů vyvarovat. Česká akademická tradice někdy autory mylně vede k domn</w:t>
      </w:r>
      <w:r>
        <w:t>ěnce, že odbornost se odvozuje od množství užitých cizích slov. Přestože se v oblasti zdravotnictví nevyhneme používání zavedených pojmů a obratů, měli bychom dávat přednost českým ekvivalentům (nebo lépe: protějškům). Pokud se rozhodnete pro použití odbor</w:t>
      </w:r>
      <w:r>
        <w:t>ného pojmu, ujistěte se, že znáte jeho přesný význam a kontext, v němž se používá – to platí zejména pro odborné medicínské pojmy: např. „permanentní“ vs. „perzistentní“ vegetativní stav, „mozková smrt“. V medicíně máme někdy tendenci skrývat se za cizí sl</w:t>
      </w:r>
      <w:r>
        <w:t xml:space="preserve">ova v situacích, kdy sdělujeme pacientům nepříjemné zprávy, případně si sami nejsme jisti – a této praxi je dobré se vyvarovat od počátku vaší medicínské kariéry. </w:t>
      </w:r>
    </w:p>
    <w:p w:rsidR="004018A1" w:rsidRDefault="00A90D0A">
      <w:r>
        <w:t>Poslední poznámkou je psaní názvů kapitol. Vyhněte se psaní dlouhých názvů. Názvy kapitol st</w:t>
      </w:r>
      <w:r>
        <w:t xml:space="preserve">ejně jako odstavce mají vypomoct čtenáři s orientací. Nic víc, ale také nic míň. Za esteticky nejčistší se považují jednoslovné názvy kapitol. </w:t>
      </w:r>
    </w:p>
    <w:p w:rsidR="004018A1" w:rsidRDefault="00A90D0A">
      <w:pPr>
        <w:pStyle w:val="Nadpis3"/>
      </w:pPr>
      <w:r>
        <w:t xml:space="preserve">Strukturování </w:t>
      </w:r>
    </w:p>
    <w:p w:rsidR="004018A1" w:rsidRDefault="00A90D0A">
      <w:r>
        <w:t>Text by měl vždy obsahovat odkaz na publikující instituci (fakulta, časopis apod.), název příspěv</w:t>
      </w:r>
      <w:r>
        <w:t>ku, jméno autora a kontakt na něj. Část se obvykle objevuje v záhlaví, neopomeňte ho upravit. Před psaním vlastního textu může pomoci také vytvoření si detailní osnovy včetně postupu jednotlivých argumentů a z nich logicky plynoucích závěrů (vizte níže). V</w:t>
      </w:r>
      <w:r>
        <w:t xml:space="preserve">lastní text začínáme </w:t>
      </w:r>
      <w:r>
        <w:rPr>
          <w:i/>
        </w:rPr>
        <w:t>abstraktem</w:t>
      </w:r>
      <w:r>
        <w:t xml:space="preserve"> (v případě publicistiky </w:t>
      </w:r>
      <w:r>
        <w:rPr>
          <w:i/>
        </w:rPr>
        <w:t>perexem</w:t>
      </w:r>
      <w:r>
        <w:t>). Obsahuje shrnutí tématu článku včetně závěrů. Z abstraktu by mělo být také zřejmé, co nového vaše práce přináší</w:t>
      </w:r>
      <w:r>
        <w:rPr>
          <w:sz w:val="16"/>
          <w:szCs w:val="16"/>
        </w:rPr>
        <w:t xml:space="preserve">. </w:t>
      </w:r>
      <w:r>
        <w:t xml:space="preserve">Jedná se tedy vesměs o </w:t>
      </w:r>
      <w:r>
        <w:rPr>
          <w:i/>
        </w:rPr>
        <w:t>destilát</w:t>
      </w:r>
      <w:r>
        <w:t xml:space="preserve"> celé práce zhuštěný do krátkého textu. Jinými slovy čtenáři musí být z abstraktu jasné: 1. o čem to bude, 2. jak to dopadne.</w:t>
      </w:r>
      <w:r>
        <w:rPr>
          <w:sz w:val="16"/>
          <w:szCs w:val="16"/>
        </w:rPr>
        <w:t xml:space="preserve"> </w:t>
      </w:r>
      <w:r>
        <w:t>Součástí abstraktu jsou dále klíčová slova. Vyberte tři až pět.</w:t>
      </w:r>
    </w:p>
    <w:p w:rsidR="004018A1" w:rsidRDefault="00A90D0A">
      <w:r>
        <w:t>Následuje úvod. Obsahuje vymezení práce, v některých případech i m</w:t>
      </w:r>
      <w:r>
        <w:t xml:space="preserve">otivaci pro výběr daného tématu. Nejdůležitější je jasné vymezení hypotéz, předpokladů nebo tvrzení, kterými se chcete zabývat. </w:t>
      </w:r>
    </w:p>
    <w:p w:rsidR="004018A1" w:rsidRDefault="00A90D0A">
      <w:r>
        <w:lastRenderedPageBreak/>
        <w:t>Nejdelší částí je tělo textu, které postupně představí proces argumentace (vizte výše). Vlastní text končí diskuzí a závěrem. N</w:t>
      </w:r>
      <w:r>
        <w:t xml:space="preserve">ásleduje blok s výčtem použité literatury. </w:t>
      </w:r>
    </w:p>
    <w:p w:rsidR="004018A1" w:rsidRDefault="00A90D0A">
      <w:r>
        <w:t xml:space="preserve">Doporučujeme psát úvod, diskuzi a závěr a následně shrnující abstrakt jako poslední. Důvodem je to, že argumentace se i v průběhu psaní může organicky vyvíjet. </w:t>
      </w:r>
    </w:p>
    <w:p w:rsidR="004018A1" w:rsidRDefault="00A90D0A">
      <w:pPr>
        <w:pStyle w:val="Nadpis3"/>
      </w:pPr>
      <w:r>
        <w:t>Grafika</w:t>
      </w:r>
    </w:p>
    <w:p w:rsidR="004018A1" w:rsidRDefault="00A90D0A">
      <w:r>
        <w:t>Grafický formát, který máte před sebou, imi</w:t>
      </w:r>
      <w:r>
        <w:t>tuje odborné časopisy. Abyste si takové zpracování osvojili a zároveň se seznámili s editorskou činností, vyžadujeme použití tohoto textu jako šablony. Doporučujeme proto psát text nejdřív „nanečisto“ do vlastního souboru a následně ho vložit a zformátovat</w:t>
      </w:r>
      <w:r>
        <w:t xml:space="preserve"> podle potřeb zadání. </w:t>
      </w:r>
    </w:p>
    <w:p w:rsidR="004018A1" w:rsidRDefault="00A90D0A">
      <w:r>
        <w:t xml:space="preserve">Písmo je standardizováno dle nároků 2. LF UK (2017). Pro vaše akademické psaní v budoucnosti doporučujeme používání fontu </w:t>
      </w:r>
      <w:r>
        <w:rPr>
          <w:i/>
        </w:rPr>
        <w:t xml:space="preserve">Calibri </w:t>
      </w:r>
      <w:r>
        <w:t xml:space="preserve">nebo patkových písem. </w:t>
      </w:r>
    </w:p>
    <w:p w:rsidR="004018A1" w:rsidRDefault="00A90D0A">
      <w:r>
        <w:t>Pokud budete vkládat grafy, tolerujte dvousloupcové rozvržení dokumentu. Grafika</w:t>
      </w:r>
      <w:r>
        <w:t>, font tabulek a grafů musí odpovídat formátování celého textu. Následující graf (vizte graf 1) ukazuje, zda studenti v akademickém roce 2017/2018 založili své eseje na tehdy navržených citátech, nebo zda zvolili cestu formulování vlastního tématu.</w:t>
      </w:r>
    </w:p>
    <w:p w:rsidR="004018A1" w:rsidRDefault="004018A1">
      <w:pPr>
        <w:spacing w:after="0"/>
        <w:rPr>
          <w:sz w:val="18"/>
          <w:szCs w:val="18"/>
        </w:rPr>
      </w:pPr>
    </w:p>
    <w:p w:rsidR="004018A1" w:rsidRDefault="00A90D0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Graf 1 </w:t>
      </w:r>
    </w:p>
    <w:p w:rsidR="004018A1" w:rsidRDefault="00A90D0A">
      <w:pPr>
        <w:spacing w:after="0"/>
      </w:pPr>
      <w:r>
        <w:rPr>
          <w:noProof/>
          <w:sz w:val="18"/>
          <w:szCs w:val="18"/>
        </w:rPr>
        <w:drawing>
          <wp:inline distT="0" distB="0" distL="0" distR="0">
            <wp:extent cx="3219450" cy="13525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:rsidR="004018A1" w:rsidRDefault="00A90D0A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Zdroj: archív Ústavu lékařské etiky a humanitních základů medicíny </w:t>
      </w:r>
      <w:r>
        <w:rPr>
          <w:i/>
          <w:sz w:val="18"/>
          <w:szCs w:val="18"/>
        </w:rPr>
        <w:br/>
        <w:t>2. LF UK.</w:t>
      </w:r>
    </w:p>
    <w:p w:rsidR="004018A1" w:rsidRDefault="00A90D0A">
      <w:r>
        <w:t xml:space="preserve">Obdobná pravidla se týkají i vkládání tabulek. Grafice a kreativitě se meze nekladou, dokud předkládáte data jasně a přehledně. V následujícím přehledu (vizte Tab. 1) </w:t>
      </w:r>
      <w:r>
        <w:t xml:space="preserve">si povšimněte četností jednotlivých témat esejů v akademickém roce 2017/2018. </w:t>
      </w:r>
    </w:p>
    <w:p w:rsidR="004018A1" w:rsidRDefault="00A90D0A">
      <w:r>
        <w:t>Tab. 1 – Témata esejů 2017/2018</w:t>
      </w:r>
    </w:p>
    <w:tbl>
      <w:tblPr>
        <w:tblStyle w:val="a"/>
        <w:tblW w:w="3852" w:type="dxa"/>
        <w:tblInd w:w="452" w:type="dxa"/>
        <w:tblLayout w:type="fixed"/>
        <w:tblLook w:val="0400" w:firstRow="0" w:lastRow="0" w:firstColumn="0" w:lastColumn="0" w:noHBand="0" w:noVBand="1"/>
      </w:tblPr>
      <w:tblGrid>
        <w:gridCol w:w="1902"/>
        <w:gridCol w:w="1197"/>
        <w:gridCol w:w="753"/>
      </w:tblGrid>
      <w:tr w:rsidR="004018A1">
        <w:tc>
          <w:tcPr>
            <w:tcW w:w="19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18A1" w:rsidRDefault="00A90D0A">
            <w:pPr>
              <w:spacing w:after="0" w:line="240" w:lineRule="auto"/>
              <w:jc w:val="left"/>
              <w:rPr>
                <w:i/>
              </w:rPr>
            </w:pPr>
            <w:r>
              <w:rPr>
                <w:i/>
                <w:sz w:val="18"/>
                <w:szCs w:val="18"/>
              </w:rPr>
              <w:t>téma</w:t>
            </w:r>
          </w:p>
        </w:tc>
        <w:tc>
          <w:tcPr>
            <w:tcW w:w="1197" w:type="dxa"/>
            <w:tcBorders>
              <w:bottom w:val="single" w:sz="4" w:space="0" w:color="000000"/>
            </w:tcBorders>
            <w:shd w:val="clear" w:color="auto" w:fill="auto"/>
          </w:tcPr>
          <w:p w:rsidR="004018A1" w:rsidRDefault="004018A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18A1" w:rsidRDefault="00A90D0A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četnost</w:t>
            </w:r>
          </w:p>
        </w:tc>
      </w:tr>
      <w:tr w:rsidR="004018A1">
        <w:tc>
          <w:tcPr>
            <w:tcW w:w="1902" w:type="dxa"/>
            <w:tcBorders>
              <w:top w:val="single" w:sz="4" w:space="0" w:color="000000"/>
            </w:tcBorders>
            <w:shd w:val="clear" w:color="auto" w:fill="auto"/>
          </w:tcPr>
          <w:p w:rsidR="004018A1" w:rsidRDefault="00A90D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germinální etika</w:t>
            </w:r>
          </w:p>
        </w:tc>
        <w:tc>
          <w:tcPr>
            <w:tcW w:w="1197" w:type="dxa"/>
            <w:tcBorders>
              <w:top w:val="single" w:sz="4" w:space="0" w:color="000000"/>
            </w:tcBorders>
            <w:shd w:val="clear" w:color="auto" w:fill="auto"/>
          </w:tcPr>
          <w:p w:rsidR="004018A1" w:rsidRDefault="004018A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018A1" w:rsidRDefault="00A90D0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</w:tr>
      <w:tr w:rsidR="004018A1">
        <w:tc>
          <w:tcPr>
            <w:tcW w:w="1902" w:type="dxa"/>
            <w:shd w:val="clear" w:color="auto" w:fill="auto"/>
          </w:tcPr>
          <w:p w:rsidR="004018A1" w:rsidRDefault="00A90D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terminální etika</w:t>
            </w:r>
          </w:p>
        </w:tc>
        <w:tc>
          <w:tcPr>
            <w:tcW w:w="1197" w:type="dxa"/>
            <w:shd w:val="clear" w:color="auto" w:fill="auto"/>
          </w:tcPr>
          <w:p w:rsidR="004018A1" w:rsidRDefault="004018A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4018A1" w:rsidRDefault="00A90D0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</w:tr>
      <w:tr w:rsidR="004018A1">
        <w:tc>
          <w:tcPr>
            <w:tcW w:w="1902" w:type="dxa"/>
            <w:shd w:val="clear" w:color="auto" w:fill="auto"/>
          </w:tcPr>
          <w:p w:rsidR="004018A1" w:rsidRDefault="00A90D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svoboda volby</w:t>
            </w:r>
          </w:p>
        </w:tc>
        <w:tc>
          <w:tcPr>
            <w:tcW w:w="1197" w:type="dxa"/>
            <w:shd w:val="clear" w:color="auto" w:fill="auto"/>
          </w:tcPr>
          <w:p w:rsidR="004018A1" w:rsidRDefault="004018A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4018A1" w:rsidRDefault="00A90D0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</w:tr>
      <w:tr w:rsidR="004018A1">
        <w:tc>
          <w:tcPr>
            <w:tcW w:w="1902" w:type="dxa"/>
            <w:shd w:val="clear" w:color="auto" w:fill="auto"/>
          </w:tcPr>
          <w:p w:rsidR="004018A1" w:rsidRDefault="00A90D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jiné</w:t>
            </w:r>
          </w:p>
        </w:tc>
        <w:tc>
          <w:tcPr>
            <w:tcW w:w="1197" w:type="dxa"/>
            <w:shd w:val="clear" w:color="auto" w:fill="auto"/>
          </w:tcPr>
          <w:p w:rsidR="004018A1" w:rsidRDefault="004018A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4018A1" w:rsidRDefault="00A90D0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111</w:t>
            </w:r>
          </w:p>
        </w:tc>
      </w:tr>
    </w:tbl>
    <w:p w:rsidR="004018A1" w:rsidRDefault="00A90D0A">
      <w:pPr>
        <w:spacing w:before="24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Zdroj: archív Ústavu lékařské etiky a humanitních základů medicíny </w:t>
      </w:r>
      <w:r>
        <w:rPr>
          <w:i/>
          <w:sz w:val="18"/>
          <w:szCs w:val="18"/>
        </w:rPr>
        <w:br/>
        <w:t>2. LF UK.</w:t>
      </w:r>
    </w:p>
    <w:p w:rsidR="004018A1" w:rsidRDefault="00A90D0A">
      <w:r>
        <w:t>Zachovejte také velikost a odsazení fontů, tak jak jsou nastaveny v tomto souboru. Budete-li někdy psát vlastní odborné texty, osvojte si vytváření stylů v MS Word na záložce „Do</w:t>
      </w:r>
      <w:r>
        <w:t>mů“.</w:t>
      </w:r>
    </w:p>
    <w:p w:rsidR="004018A1" w:rsidRDefault="00A90D0A">
      <w:r>
        <w:t>Častou chybou je zdvojení označení odstavce. Buď zvolte odsazení mezi odstavci (jako v tomto dokumentu), nebo odsazení prvního řádku odstavce (např. jak to znáte z knih). Odsazení prvního řádku se řídí vlastními pravidly. V případě, že ho chcete použí</w:t>
      </w:r>
      <w:r>
        <w:t xml:space="preserve">vat, nedosadíte první řádek prvního odstavce, ale až následující. Nekombinujte zmíněná odlišení odstavců. </w:t>
      </w:r>
    </w:p>
    <w:p w:rsidR="004018A1" w:rsidRDefault="00A90D0A">
      <w:pPr>
        <w:pStyle w:val="Nadpis3"/>
      </w:pPr>
      <w:r>
        <w:t>Citace</w:t>
      </w:r>
    </w:p>
    <w:p w:rsidR="004018A1" w:rsidRDefault="00A90D0A">
      <w:pPr>
        <w:rPr>
          <w:color w:val="ED1C29"/>
        </w:rPr>
      </w:pPr>
      <w:r>
        <w:t>Každé tvrzení, které v eseji uvádíte a vychází z již publikovaného textu, musíte označit citací zdroje. Necitování je plagiátorství a nevědomo</w:t>
      </w:r>
      <w:r>
        <w:t>st neomlouvá.</w:t>
      </w:r>
    </w:p>
    <w:p w:rsidR="004018A1" w:rsidRDefault="00A90D0A">
      <w:r>
        <w:t>Existuje řada citačních úzů. Za poměrně jednoduchý k osvojení, a přitom mezinárodně často využívaný styl citování, považujeme APA (American Psychological Association, 2010). Ve vaši eseji proto vyžadujeme právě tento úzus. V této šabloně uvid</w:t>
      </w:r>
      <w:r>
        <w:t xml:space="preserve">íte příklad 6. vydání, které je kompatibilní s MS Word. Dobrou variantou je i 7. vydání. </w:t>
      </w:r>
    </w:p>
    <w:p w:rsidR="004018A1" w:rsidRDefault="00A90D0A">
      <w:r>
        <w:t>Osobně doporučujeme naučit se pracovat se záložkou „Reference“ ve Wordu, případně s vybraným citačním softwarem (např. Mendeley, Zotero, EndNote). Umožní vám od počát</w:t>
      </w:r>
      <w:r>
        <w:t>ku studií shromažďovat citovanou literaturu, což oceníte ve vaší budoucí akademické práci. Zároveň vám umožní vložit citaci v textu a lehce vygenerovat seznam použité literatury.</w:t>
      </w:r>
    </w:p>
    <w:p w:rsidR="004018A1" w:rsidRDefault="00A90D0A">
      <w:pPr>
        <w:rPr>
          <w:i/>
          <w:color w:val="ED1C29"/>
        </w:rPr>
      </w:pPr>
      <w:r>
        <w:t>Nezapomeňte ale, že citujete-li přímo (nebo se nepřímo odkazujete ke konkrétn</w:t>
      </w:r>
      <w:r>
        <w:t>í části textu) je třeba přidat číslo/a stran. Pravidla s přímou citací jsou stejná jako v češtině.</w:t>
      </w:r>
    </w:p>
    <w:p w:rsidR="004018A1" w:rsidRDefault="00A90D0A">
      <w:pPr>
        <w:pStyle w:val="Nadpis3"/>
      </w:pPr>
      <w:r>
        <w:t>Nároky na vaši práci</w:t>
      </w:r>
    </w:p>
    <w:p w:rsidR="004018A1" w:rsidRDefault="00A90D0A">
      <w:r>
        <w:t>Jak jste jistě pochopili, přístup k psaní odborných textů se může mezi lidmi výrazně lišit. Přesto platí, že je dobré znát příklady dobr</w:t>
      </w:r>
      <w:r>
        <w:t>é praxe a zažité konvence. Cvičení dělá mistra a nejinak je tomu i při akademickém psaní. Přejeme si, aby vám tato šablona posloužila jako užitečný nástroj, ze kterého budete moci vycházet při akademickém psaní.</w:t>
      </w:r>
    </w:p>
    <w:p w:rsidR="004018A1" w:rsidRDefault="00A90D0A">
      <w:r>
        <w:t>Vašim prvním úkolem je napsání eseje k zápoč</w:t>
      </w:r>
      <w:r>
        <w:t xml:space="preserve">tu v zimním semestru. Požadovaný rozsah, včetně mezer, je 3600–5400 znaků (nezapočítáváme seznam použité literatury, záhlaví, zápatí a dvojité mezery). Práce musí </w:t>
      </w:r>
      <w:r>
        <w:lastRenderedPageBreak/>
        <w:t>vycházet z jednoho tematického okruhu (vizte výše). Data a způsob odevzdání jsou určeny v pod</w:t>
      </w:r>
      <w:r>
        <w:t>mínkách pro získání zápočtu. Nicméně sledujte i poznámky v SIS – například proto, že ne každý zkoušející vyžaduje odevzdání tištěné verze před samotným zápočtem.</w:t>
      </w:r>
    </w:p>
    <w:p w:rsidR="004018A1" w:rsidRDefault="00A90D0A">
      <w:pPr>
        <w:pStyle w:val="Nadpis3"/>
      </w:pPr>
      <w:r>
        <w:t>Tipy a triky</w:t>
      </w:r>
    </w:p>
    <w:p w:rsidR="004018A1" w:rsidRDefault="00A90D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Vaše práce se má zabývat problémem v bioetice. Pokud si nejste jistí, tak jste to pravděpodobně s medicínskými informacemi přehnali. </w:t>
      </w:r>
    </w:p>
    <w:p w:rsidR="004018A1" w:rsidRDefault="00A90D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Pokud nevíte, je dobré se poradit s kvalitními zveřejněnými esejemi z minulých let. Ale pozor, některé nároky se mohly změ</w:t>
      </w:r>
      <w:r>
        <w:rPr>
          <w:color w:val="000000"/>
        </w:rPr>
        <w:t xml:space="preserve">nit. </w:t>
      </w:r>
    </w:p>
    <w:p w:rsidR="004018A1" w:rsidRDefault="00A90D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Nezanedbejte esej. Kvalifikované hodnocení zápočtu může zásadně ovlivnit náročnost a hodnocení zkoušky v letním semestru. </w:t>
      </w:r>
    </w:p>
    <w:p w:rsidR="004018A1" w:rsidRDefault="00A90D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Ke konzultaci posílejte jen finální verze esejí. Opakované konzultace ze strany hodnotitelů nejsou v žádném případě samozřejmos</w:t>
      </w:r>
      <w:r>
        <w:rPr>
          <w:color w:val="000000"/>
        </w:rPr>
        <w:t xml:space="preserve">tí. </w:t>
      </w:r>
    </w:p>
    <w:p w:rsidR="004018A1" w:rsidRDefault="00A90D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Chcete-li předejít obtížím, držte se APA. </w:t>
      </w:r>
    </w:p>
    <w:p w:rsidR="004018A1" w:rsidRDefault="00A90D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Než práci odešlete, ujistěte se, že máte jak citace v textu, tak v seznamu literatury. Co je v textu, je v seznamu a naopak. Do seznamu se nikdy nepíše zdroj, který nebyl citován. Současně citace v textu a v </w:t>
      </w:r>
      <w:r>
        <w:rPr>
          <w:color w:val="000000"/>
        </w:rPr>
        <w:t xml:space="preserve">seznamu musí být ve stejném citačním „jazyku“. V případě APA abecedně. </w:t>
      </w:r>
    </w:p>
    <w:p w:rsidR="004018A1" w:rsidRDefault="00A90D0A">
      <w:pPr>
        <w:pStyle w:val="Nadpis3"/>
      </w:pPr>
      <w:r>
        <w:t>Citovaná literatura</w:t>
      </w:r>
    </w:p>
    <w:p w:rsidR="004018A1" w:rsidRDefault="00A90D0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 xml:space="preserve">2. LF UK. (2017). </w:t>
      </w:r>
      <w:r>
        <w:rPr>
          <w:i/>
          <w:color w:val="000000"/>
          <w:sz w:val="18"/>
          <w:szCs w:val="18"/>
        </w:rPr>
        <w:t>Logomanuál.</w:t>
      </w:r>
      <w:r>
        <w:rPr>
          <w:color w:val="000000"/>
          <w:sz w:val="18"/>
          <w:szCs w:val="18"/>
        </w:rPr>
        <w:t xml:space="preserve"> Praha: 2. LF UK. Načteno z https://www.lf2.cuni.cz/dokumenty/jednotny-vizualni-styl</w:t>
      </w:r>
    </w:p>
    <w:p w:rsidR="004018A1" w:rsidRDefault="00A90D0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American Psychological Association. (2010). </w:t>
      </w:r>
      <w:r>
        <w:rPr>
          <w:i/>
          <w:color w:val="000000"/>
          <w:sz w:val="18"/>
          <w:szCs w:val="18"/>
        </w:rPr>
        <w:t>Public</w:t>
      </w:r>
      <w:r>
        <w:rPr>
          <w:i/>
          <w:color w:val="000000"/>
          <w:sz w:val="18"/>
          <w:szCs w:val="18"/>
        </w:rPr>
        <w:t>ation manual of the American Psychological Association</w:t>
      </w:r>
      <w:r>
        <w:rPr>
          <w:color w:val="000000"/>
          <w:sz w:val="18"/>
          <w:szCs w:val="18"/>
        </w:rPr>
        <w:t xml:space="preserve"> (6. vyd.). Washington: DC: American Psychological Association.</w:t>
      </w:r>
    </w:p>
    <w:p w:rsidR="004018A1" w:rsidRDefault="00A90D0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American Psychological Association. (2020). </w:t>
      </w:r>
      <w:r>
        <w:rPr>
          <w:i/>
          <w:color w:val="000000"/>
          <w:sz w:val="18"/>
          <w:szCs w:val="18"/>
        </w:rPr>
        <w:t>Publication manual of the American Psychological Association</w:t>
      </w:r>
      <w:r>
        <w:rPr>
          <w:color w:val="000000"/>
          <w:sz w:val="18"/>
          <w:szCs w:val="18"/>
        </w:rPr>
        <w:t xml:space="preserve"> (7. vyd.). Washington: DC: American Psychological Association.</w:t>
      </w:r>
    </w:p>
    <w:p w:rsidR="004018A1" w:rsidRDefault="00A90D0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Černá, A., Chromý, J., Konečná, H., Mžourková, H., Pravdová, M., Prošek, M., . . . Uhlířová, L. (2019). Načteno z Internetová jazyková příručka: http://prirucka.ujc.cas.cz/?id=164</w:t>
      </w:r>
    </w:p>
    <w:p w:rsidR="004018A1" w:rsidRDefault="00A90D0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Hesse, M. B. (1964). Analogy and Confirmation Theory. </w:t>
      </w:r>
      <w:r>
        <w:rPr>
          <w:i/>
          <w:color w:val="000000"/>
          <w:sz w:val="18"/>
          <w:szCs w:val="18"/>
        </w:rPr>
        <w:t>Philosophy of Science</w:t>
      </w:r>
      <w:r>
        <w:rPr>
          <w:color w:val="000000"/>
          <w:sz w:val="18"/>
          <w:szCs w:val="18"/>
        </w:rPr>
        <w:t>(31), 319–327.</w:t>
      </w:r>
    </w:p>
    <w:p w:rsidR="004018A1" w:rsidRDefault="00A90D0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>
        <w:rPr>
          <w:color w:val="000000"/>
          <w:sz w:val="18"/>
          <w:szCs w:val="18"/>
        </w:rPr>
        <w:t xml:space="preserve">McCandless, D. (2012). </w:t>
      </w:r>
      <w:r>
        <w:rPr>
          <w:i/>
          <w:color w:val="000000"/>
          <w:sz w:val="18"/>
          <w:szCs w:val="18"/>
        </w:rPr>
        <w:t>Argumentační fauly</w:t>
      </w:r>
      <w:r>
        <w:rPr>
          <w:color w:val="000000"/>
          <w:sz w:val="18"/>
          <w:szCs w:val="18"/>
        </w:rPr>
        <w:t>. (M. Picha, Redaktor) Načteno z Centrum občanského vzdělávání: http://www.obcanskevzdelavani.cz/work/ke-stazeni/argumentacni</w:t>
      </w:r>
      <w:r>
        <w:rPr>
          <w:color w:val="000000"/>
          <w:sz w:val="18"/>
          <w:szCs w:val="18"/>
        </w:rPr>
        <w:t>-fauly-A3-barva.pdf</w:t>
      </w:r>
    </w:p>
    <w:sectPr w:rsidR="004018A1">
      <w:headerReference w:type="default" r:id="rId12"/>
      <w:type w:val="continuous"/>
      <w:pgSz w:w="11906" w:h="16838"/>
      <w:pgMar w:top="720" w:right="720" w:bottom="720" w:left="720" w:header="397" w:footer="397" w:gutter="0"/>
      <w:cols w:num="2" w:space="708" w:equalWidth="0">
        <w:col w:w="5063" w:space="340"/>
        <w:col w:w="506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D0A" w:rsidRDefault="00A90D0A">
      <w:pPr>
        <w:spacing w:after="0" w:line="240" w:lineRule="auto"/>
      </w:pPr>
      <w:r>
        <w:separator/>
      </w:r>
    </w:p>
  </w:endnote>
  <w:endnote w:type="continuationSeparator" w:id="0">
    <w:p w:rsidR="00A90D0A" w:rsidRDefault="00A9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8A1" w:rsidRDefault="00A90D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0" w:line="240" w:lineRule="auto"/>
      <w:jc w:val="center"/>
      <w:rPr>
        <w:color w:val="7F7F7F"/>
      </w:rPr>
    </w:pPr>
    <w:r>
      <w:rPr>
        <w:color w:val="7F7F7F"/>
      </w:rPr>
      <w:fldChar w:fldCharType="begin"/>
    </w:r>
    <w:r>
      <w:rPr>
        <w:color w:val="7F7F7F"/>
      </w:rPr>
      <w:instrText>PAGE</w:instrText>
    </w:r>
    <w:r w:rsidR="002A7A8F">
      <w:rPr>
        <w:color w:val="7F7F7F"/>
      </w:rPr>
      <w:fldChar w:fldCharType="separate"/>
    </w:r>
    <w:r w:rsidR="007B7B18">
      <w:rPr>
        <w:noProof/>
        <w:color w:val="7F7F7F"/>
      </w:rPr>
      <w:t>1</w:t>
    </w:r>
    <w:r>
      <w:rPr>
        <w:color w:val="7F7F7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D0A" w:rsidRDefault="00A90D0A">
      <w:pPr>
        <w:spacing w:after="0" w:line="240" w:lineRule="auto"/>
      </w:pPr>
      <w:r>
        <w:separator/>
      </w:r>
    </w:p>
  </w:footnote>
  <w:footnote w:type="continuationSeparator" w:id="0">
    <w:p w:rsidR="00A90D0A" w:rsidRDefault="00A90D0A">
      <w:pPr>
        <w:spacing w:after="0" w:line="240" w:lineRule="auto"/>
      </w:pPr>
      <w:r>
        <w:continuationSeparator/>
      </w:r>
    </w:p>
  </w:footnote>
  <w:footnote w:id="1">
    <w:p w:rsidR="004018A1" w:rsidRDefault="00A90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387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Pokud na příkladu nevidíte rozdíl, s největší pravděpodobností je váš textový editor neaktuální. V takovém případě použijte ve vaši práci pro psaní číslic font Calibri.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8A1" w:rsidRDefault="00A90D0A">
    <w:pPr>
      <w:spacing w:after="0" w:line="240" w:lineRule="auto"/>
      <w:jc w:val="left"/>
      <w:rPr>
        <w:color w:val="000000"/>
        <w:sz w:val="16"/>
        <w:szCs w:val="16"/>
      </w:rPr>
    </w:pPr>
    <w:r>
      <w:rPr>
        <w:color w:val="000000"/>
        <w:sz w:val="16"/>
        <w:szCs w:val="16"/>
      </w:rPr>
      <w:t>Ústav lékařské etiky a humanitních základů medicíny 2. LF UK</w:t>
    </w:r>
  </w:p>
  <w:p w:rsidR="004018A1" w:rsidRDefault="00A90D0A">
    <w:pPr>
      <w:spacing w:after="0" w:line="240" w:lineRule="auto"/>
      <w:jc w:val="lef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Předmět: </w:t>
    </w:r>
    <w:r w:rsidR="007B7B18">
      <w:rPr>
        <w:color w:val="000000"/>
        <w:sz w:val="16"/>
        <w:szCs w:val="16"/>
      </w:rPr>
      <w:t>Etika, sociologie a filozofie ve zdravotnictví</w:t>
    </w:r>
    <w:r>
      <w:rPr>
        <w:color w:val="000000"/>
        <w:sz w:val="16"/>
        <w:szCs w:val="16"/>
      </w:rPr>
      <w:t>, 202</w:t>
    </w:r>
    <w:r>
      <w:rPr>
        <w:sz w:val="16"/>
        <w:szCs w:val="16"/>
      </w:rPr>
      <w:t>4</w:t>
    </w:r>
    <w:r>
      <w:rPr>
        <w:color w:val="000000"/>
        <w:sz w:val="16"/>
        <w:szCs w:val="16"/>
      </w:rPr>
      <w:t>/202</w:t>
    </w:r>
    <w:r>
      <w:rPr>
        <w:sz w:val="16"/>
        <w:szCs w:val="16"/>
      </w:rPr>
      <w:t>5</w:t>
    </w:r>
  </w:p>
  <w:p w:rsidR="004018A1" w:rsidRDefault="00A90D0A">
    <w:pPr>
      <w:spacing w:after="0" w:line="240" w:lineRule="auto"/>
      <w:jc w:val="lef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Počet znaků (slov): 17 302 (2547) </w:t>
    </w:r>
  </w:p>
  <w:p w:rsidR="004018A1" w:rsidRDefault="00A90D0A">
    <w:pPr>
      <w:pBdr>
        <w:bottom w:val="single" w:sz="4" w:space="1" w:color="000000"/>
      </w:pBdr>
      <w:spacing w:after="0" w:line="240" w:lineRule="auto"/>
      <w:jc w:val="left"/>
      <w:rPr>
        <w:color w:val="7F7F7F"/>
        <w:sz w:val="16"/>
        <w:szCs w:val="16"/>
      </w:rPr>
    </w:pPr>
    <w:r>
      <w:rPr>
        <w:color w:val="000000"/>
        <w:sz w:val="16"/>
        <w:szCs w:val="16"/>
      </w:rPr>
      <w:t>Doporučená citace: Škoda, J., &amp; Straka, B. (202</w:t>
    </w:r>
    <w:r>
      <w:rPr>
        <w:sz w:val="16"/>
        <w:szCs w:val="16"/>
      </w:rPr>
      <w:t>4</w:t>
    </w:r>
    <w:r>
      <w:rPr>
        <w:color w:val="000000"/>
        <w:sz w:val="16"/>
        <w:szCs w:val="16"/>
      </w:rPr>
      <w:t xml:space="preserve">). </w:t>
    </w:r>
    <w:r>
      <w:rPr>
        <w:i/>
        <w:color w:val="000000"/>
        <w:sz w:val="16"/>
        <w:szCs w:val="16"/>
      </w:rPr>
      <w:t xml:space="preserve">Jak psát akademickou esej. </w:t>
    </w:r>
    <w:r>
      <w:rPr>
        <w:color w:val="000000"/>
        <w:sz w:val="16"/>
        <w:szCs w:val="16"/>
      </w:rPr>
      <w:t>Praha: 2. LF UK.</w:t>
    </w:r>
  </w:p>
  <w:p w:rsidR="004018A1" w:rsidRDefault="004018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808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8A1" w:rsidRDefault="00A90D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7F7F7F"/>
        <w:sz w:val="20"/>
        <w:szCs w:val="20"/>
      </w:rPr>
    </w:pPr>
    <w:r>
      <w:rPr>
        <w:b/>
        <w:color w:val="7F7F7F"/>
        <w:sz w:val="18"/>
        <w:szCs w:val="18"/>
      </w:rPr>
      <w:t>Jak psát akademickou esej</w:t>
    </w:r>
  </w:p>
  <w:p w:rsidR="004018A1" w:rsidRDefault="004018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90E04"/>
    <w:multiLevelType w:val="multilevel"/>
    <w:tmpl w:val="CBFC3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A3C70"/>
    <w:multiLevelType w:val="multilevel"/>
    <w:tmpl w:val="9B64C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A1"/>
    <w:rsid w:val="002A7A8F"/>
    <w:rsid w:val="004018A1"/>
    <w:rsid w:val="007B7B18"/>
    <w:rsid w:val="00A9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2FF55"/>
  <w15:docId w15:val="{A9B33898-CCD2-4699-838A-787D3FA2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="Corbel" w:hAnsi="Corbel" w:cs="Corbel"/>
        <w:sz w:val="22"/>
        <w:szCs w:val="22"/>
        <w:lang w:val="cs-CZ" w:eastAsia="cs-CZ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after="0"/>
      <w:outlineLvl w:val="0"/>
    </w:pPr>
    <w:rPr>
      <w:color w:val="ED1C29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after="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spacing w:before="40" w:after="0"/>
      <w:outlineLvl w:val="2"/>
    </w:pPr>
    <w:rPr>
      <w:smallCaps/>
      <w:color w:val="ED1C29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0" w:line="240" w:lineRule="auto"/>
    </w:pPr>
    <w:rPr>
      <w:color w:val="ED1C29"/>
      <w:sz w:val="48"/>
      <w:szCs w:val="48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B7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B18"/>
  </w:style>
  <w:style w:type="paragraph" w:styleId="Zpat">
    <w:name w:val="footer"/>
    <w:basedOn w:val="Normln"/>
    <w:link w:val="ZpatChar"/>
    <w:uiPriority w:val="99"/>
    <w:unhideWhenUsed/>
    <w:rsid w:val="007B7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obcanskevzdelavani.cz/work/ke-stazeni/argumentacni-fauly-A3-barva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2664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2024-09-30T08:39:00Z</dcterms:created>
  <dcterms:modified xsi:type="dcterms:W3CDTF">2024-09-30T08:39:00Z</dcterms:modified>
</cp:coreProperties>
</file>