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DF62E" w14:textId="60491595" w:rsidR="00B0731E" w:rsidRDefault="0021565B" w:rsidP="0010466F">
      <w:pPr>
        <w:pStyle w:val="Nadpis1"/>
        <w:ind w:left="-567" w:right="-995"/>
        <w:jc w:val="center"/>
        <w:rPr>
          <w:b/>
          <w:bCs/>
          <w:color w:val="auto"/>
          <w:sz w:val="32"/>
          <w:szCs w:val="32"/>
        </w:rPr>
      </w:pPr>
      <w:r w:rsidRPr="00B0731E">
        <w:rPr>
          <w:b/>
          <w:bCs/>
          <w:color w:val="auto"/>
          <w:sz w:val="32"/>
          <w:szCs w:val="32"/>
        </w:rPr>
        <w:t>EU A VZDĚÁVÁNÍ</w:t>
      </w:r>
    </w:p>
    <w:p w14:paraId="6C8C0398" w14:textId="77777777" w:rsidR="0010466F" w:rsidRPr="0010466F" w:rsidRDefault="0010466F" w:rsidP="0010466F"/>
    <w:p w14:paraId="4A78D95B" w14:textId="77777777" w:rsidR="003C0310" w:rsidRDefault="0021565B" w:rsidP="003C0310">
      <w:pPr>
        <w:ind w:left="-567" w:right="-995"/>
        <w:rPr>
          <w:b/>
          <w:bCs/>
        </w:rPr>
      </w:pPr>
      <w:r w:rsidRPr="003C0310">
        <w:rPr>
          <w:b/>
          <w:bCs/>
        </w:rPr>
        <w:t>Usnesení Rady o strategickém rámci evropské spolupráce v oblasti vzdělávání a odborné přípravy s ohledem na vytvoření Evropského prostoru vzdělávání a další vývoj po jeho dosažení (2021–2030)</w:t>
      </w:r>
    </w:p>
    <w:p w14:paraId="6DAFDAC8" w14:textId="1CDB2EFE" w:rsidR="0021565B" w:rsidRPr="0021565B" w:rsidRDefault="0021565B" w:rsidP="003C0310">
      <w:pPr>
        <w:ind w:left="-567" w:right="-995"/>
        <w:rPr>
          <w:b/>
          <w:bCs/>
        </w:rPr>
      </w:pPr>
      <w:r w:rsidRPr="003C0310">
        <w:t>Vzdělávání a odborná příprava hrají zásadní úlohu při utváření budoucnosti Evropy</w:t>
      </w:r>
      <w:r w:rsidR="003C0310" w:rsidRPr="003C0310">
        <w:rPr>
          <w:b/>
          <w:bCs/>
        </w:rPr>
        <w:t xml:space="preserve">. </w:t>
      </w:r>
      <w:r w:rsidRPr="003C0310">
        <w:t>P</w:t>
      </w:r>
      <w:r w:rsidR="003C0310" w:rsidRPr="003C0310">
        <w:t>řispívají k p</w:t>
      </w:r>
      <w:r w:rsidRPr="003C0310">
        <w:t>osilování soudržnosti, inkluze, digitalizace, udržitelnosti, ekologie a odolnosti</w:t>
      </w:r>
      <w:r w:rsidR="003C0310" w:rsidRPr="003C0310">
        <w:t>. Mají vliv na pocit</w:t>
      </w:r>
      <w:r w:rsidRPr="003C0310">
        <w:t xml:space="preserve"> osobního naplnění a duševní pohod</w:t>
      </w:r>
      <w:r w:rsidR="003C0310" w:rsidRPr="003C0310">
        <w:t xml:space="preserve"> </w:t>
      </w:r>
      <w:r w:rsidRPr="003C0310">
        <w:t xml:space="preserve">a </w:t>
      </w:r>
      <w:r w:rsidR="003C0310" w:rsidRPr="003C0310">
        <w:t xml:space="preserve">podporují </w:t>
      </w:r>
      <w:r w:rsidRPr="003C0310">
        <w:t>aktivní občanství</w:t>
      </w:r>
    </w:p>
    <w:p w14:paraId="0E692C83" w14:textId="77777777" w:rsidR="0021565B" w:rsidRPr="0021565B" w:rsidRDefault="0021565B" w:rsidP="003C0310">
      <w:pPr>
        <w:spacing w:after="40"/>
        <w:ind w:left="-284" w:right="-995"/>
        <w:rPr>
          <w:b/>
          <w:bCs/>
        </w:rPr>
      </w:pPr>
      <w:r w:rsidRPr="006748AF">
        <w:rPr>
          <w:b/>
          <w:bCs/>
        </w:rPr>
        <w:t>Obecné cíle</w:t>
      </w:r>
      <w:r w:rsidRPr="006748AF">
        <w:rPr>
          <w:b/>
          <w:bCs/>
          <w:lang w:val="ru-RU"/>
        </w:rPr>
        <w:t>:</w:t>
      </w:r>
    </w:p>
    <w:p w14:paraId="73DD48D2" w14:textId="77777777" w:rsidR="0021565B" w:rsidRPr="0021565B" w:rsidRDefault="0021565B" w:rsidP="004476EF">
      <w:pPr>
        <w:numPr>
          <w:ilvl w:val="0"/>
          <w:numId w:val="9"/>
        </w:numPr>
        <w:spacing w:after="40"/>
        <w:ind w:right="-569"/>
        <w:jc w:val="both"/>
      </w:pPr>
      <w:r w:rsidRPr="0021565B">
        <w:t>Vytvořit Evropský prostor vzdělávání</w:t>
      </w:r>
    </w:p>
    <w:p w14:paraId="0B3F9914" w14:textId="77777777" w:rsidR="0021565B" w:rsidRPr="0021565B" w:rsidRDefault="0021565B" w:rsidP="004476EF">
      <w:pPr>
        <w:numPr>
          <w:ilvl w:val="0"/>
          <w:numId w:val="9"/>
        </w:numPr>
        <w:spacing w:after="40"/>
        <w:ind w:right="-569"/>
        <w:jc w:val="both"/>
      </w:pPr>
      <w:r w:rsidRPr="0021565B">
        <w:t>Podpora rozvoje systémů vzdělávání a odborné přípravy v členských státech</w:t>
      </w:r>
    </w:p>
    <w:p w14:paraId="21E04040" w14:textId="77777777" w:rsidR="0021565B" w:rsidRPr="0021565B" w:rsidRDefault="0021565B" w:rsidP="004476EF">
      <w:pPr>
        <w:numPr>
          <w:ilvl w:val="0"/>
          <w:numId w:val="9"/>
        </w:numPr>
        <w:spacing w:after="40"/>
        <w:ind w:right="-569"/>
        <w:jc w:val="both"/>
      </w:pPr>
      <w:r w:rsidRPr="0021565B">
        <w:t>Zajištění osobního, společenského a profesního naplnění všech občanů při současné podpoře demokratických hodnot, rovnosti, sociální soudržnosti, aktivního občanství a mezikulturního dialogu</w:t>
      </w:r>
    </w:p>
    <w:p w14:paraId="2C0524B6" w14:textId="6E59599D" w:rsidR="00D87133" w:rsidRDefault="0021565B" w:rsidP="00D87133">
      <w:pPr>
        <w:numPr>
          <w:ilvl w:val="0"/>
          <w:numId w:val="9"/>
        </w:numPr>
        <w:spacing w:after="40"/>
        <w:ind w:right="-569"/>
        <w:jc w:val="both"/>
      </w:pPr>
      <w:r w:rsidRPr="00D87133">
        <w:t>Dosažení udržitelné hospodářské prosperity, ekologické a digitální transformace a zaměstnanosti</w:t>
      </w:r>
    </w:p>
    <w:p w14:paraId="640D4FAB" w14:textId="77777777" w:rsidR="00D87133" w:rsidRDefault="00D87133" w:rsidP="00D87133">
      <w:pPr>
        <w:spacing w:after="40"/>
        <w:ind w:left="720" w:right="-569"/>
        <w:jc w:val="both"/>
      </w:pPr>
    </w:p>
    <w:p w14:paraId="115E2749" w14:textId="49781FD4" w:rsidR="0021565B" w:rsidRPr="00D87133" w:rsidRDefault="0021565B" w:rsidP="00D87133">
      <w:pPr>
        <w:spacing w:after="40"/>
        <w:ind w:left="-284" w:right="-569"/>
        <w:jc w:val="both"/>
        <w:rPr>
          <w:b/>
          <w:bCs/>
        </w:rPr>
      </w:pPr>
      <w:r w:rsidRPr="00D87133">
        <w:rPr>
          <w:b/>
          <w:bCs/>
        </w:rPr>
        <w:t>Prioritní oblasti evropské spolupráce ve vzdělávání a odborné přípravě na 10 let</w:t>
      </w:r>
      <w:r w:rsidR="00D87133">
        <w:rPr>
          <w:b/>
          <w:bCs/>
        </w:rPr>
        <w:t>:</w:t>
      </w:r>
    </w:p>
    <w:p w14:paraId="6415DBA8" w14:textId="77777777" w:rsidR="0021565B" w:rsidRPr="0021565B" w:rsidRDefault="0021565B" w:rsidP="004476EF">
      <w:pPr>
        <w:numPr>
          <w:ilvl w:val="0"/>
          <w:numId w:val="9"/>
        </w:numPr>
        <w:spacing w:after="40"/>
        <w:ind w:right="-569"/>
        <w:jc w:val="both"/>
      </w:pPr>
      <w:r w:rsidRPr="0021565B">
        <w:t>Zlepšení kvality, rovnosti, inkluze a úspěchu pro všechny ve vzdělávání a odborné přípravě</w:t>
      </w:r>
    </w:p>
    <w:p w14:paraId="3598A874" w14:textId="77777777" w:rsidR="0021565B" w:rsidRPr="0021565B" w:rsidRDefault="0021565B" w:rsidP="004476EF">
      <w:pPr>
        <w:numPr>
          <w:ilvl w:val="0"/>
          <w:numId w:val="9"/>
        </w:numPr>
        <w:spacing w:after="40"/>
        <w:ind w:right="-569"/>
        <w:jc w:val="both"/>
      </w:pPr>
      <w:r w:rsidRPr="0021565B">
        <w:t>Celoživotní učení a mobilita realitou pro všechny</w:t>
      </w:r>
    </w:p>
    <w:p w14:paraId="3C833D9C" w14:textId="77777777" w:rsidR="0021565B" w:rsidRPr="0021565B" w:rsidRDefault="0021565B" w:rsidP="004476EF">
      <w:pPr>
        <w:numPr>
          <w:ilvl w:val="0"/>
          <w:numId w:val="9"/>
        </w:numPr>
        <w:spacing w:after="40"/>
        <w:ind w:right="-569"/>
        <w:jc w:val="both"/>
      </w:pPr>
      <w:r w:rsidRPr="0021565B">
        <w:t>Posilování kompetencí a motivace v pedagogických povoláních</w:t>
      </w:r>
    </w:p>
    <w:p w14:paraId="11DF70DA" w14:textId="77777777" w:rsidR="0021565B" w:rsidRPr="0021565B" w:rsidRDefault="0021565B" w:rsidP="004476EF">
      <w:pPr>
        <w:numPr>
          <w:ilvl w:val="0"/>
          <w:numId w:val="9"/>
        </w:numPr>
        <w:spacing w:after="40"/>
        <w:ind w:right="-569"/>
        <w:jc w:val="both"/>
      </w:pPr>
      <w:r w:rsidRPr="0021565B">
        <w:t>Posílení evropského vysokoškolského vzdělávání</w:t>
      </w:r>
    </w:p>
    <w:p w14:paraId="43F9133E" w14:textId="77777777" w:rsidR="0021565B" w:rsidRPr="0021565B" w:rsidRDefault="0021565B" w:rsidP="004476EF">
      <w:pPr>
        <w:numPr>
          <w:ilvl w:val="0"/>
          <w:numId w:val="9"/>
        </w:numPr>
        <w:spacing w:after="40"/>
        <w:ind w:right="-569"/>
        <w:jc w:val="both"/>
      </w:pPr>
      <w:r w:rsidRPr="0021565B">
        <w:t>Podpora ekologické a digitální transformace ve vzdělávání a odborné přípravě</w:t>
      </w:r>
    </w:p>
    <w:p w14:paraId="7132582F" w14:textId="60EB710E" w:rsidR="0021565B" w:rsidRPr="0021565B" w:rsidRDefault="0021565B" w:rsidP="006748AF">
      <w:pPr>
        <w:spacing w:after="40"/>
        <w:ind w:left="-567" w:right="-995"/>
      </w:pPr>
    </w:p>
    <w:tbl>
      <w:tblPr>
        <w:tblStyle w:val="Prosttabulka1"/>
        <w:tblW w:w="10632" w:type="dxa"/>
        <w:tblInd w:w="-601" w:type="dxa"/>
        <w:tblLook w:val="04A0" w:firstRow="1" w:lastRow="0" w:firstColumn="1" w:lastColumn="0" w:noHBand="0" w:noVBand="1"/>
      </w:tblPr>
      <w:tblGrid>
        <w:gridCol w:w="10632"/>
      </w:tblGrid>
      <w:tr w:rsidR="006748AF" w14:paraId="3747B1F3" w14:textId="77777777" w:rsidTr="003C03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3F122CA6" w14:textId="7F02CD69" w:rsidR="006748AF" w:rsidRPr="006748AF" w:rsidRDefault="006748AF" w:rsidP="003C0310">
            <w:pPr>
              <w:spacing w:after="40"/>
              <w:ind w:left="638" w:right="174"/>
            </w:pPr>
            <w:r w:rsidRPr="006748AF">
              <w:t>Sedm cílů na úrovni EU:</w:t>
            </w:r>
          </w:p>
        </w:tc>
      </w:tr>
      <w:tr w:rsidR="0021565B" w:rsidRPr="006748AF" w14:paraId="1D3D8C5F" w14:textId="77777777" w:rsidTr="003C0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7CD89E4B" w14:textId="3AB72B59" w:rsidR="0021565B" w:rsidRPr="006748AF" w:rsidRDefault="0021565B" w:rsidP="003C0310">
            <w:pPr>
              <w:numPr>
                <w:ilvl w:val="0"/>
                <w:numId w:val="4"/>
              </w:numPr>
              <w:spacing w:after="40"/>
              <w:ind w:left="638" w:right="174"/>
              <w:rPr>
                <w:b w:val="0"/>
                <w:bCs w:val="0"/>
              </w:rPr>
            </w:pPr>
            <w:r w:rsidRPr="006748AF">
              <w:rPr>
                <w:b w:val="0"/>
                <w:bCs w:val="0"/>
              </w:rPr>
              <w:t>Do roku 2030 by podíl 15letých žáků se slabými výsledky ve čtení, matematice a přírodních vědách měl být nižší než 15 %.</w:t>
            </w:r>
          </w:p>
        </w:tc>
      </w:tr>
      <w:tr w:rsidR="0021565B" w:rsidRPr="006748AF" w14:paraId="51FE42B6" w14:textId="77777777" w:rsidTr="003C0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5D3EEC5B" w14:textId="421A4719" w:rsidR="0021565B" w:rsidRPr="006748AF" w:rsidRDefault="0021565B" w:rsidP="003C0310">
            <w:pPr>
              <w:numPr>
                <w:ilvl w:val="0"/>
                <w:numId w:val="4"/>
              </w:numPr>
              <w:spacing w:after="40"/>
              <w:ind w:left="638" w:right="174"/>
              <w:rPr>
                <w:b w:val="0"/>
                <w:bCs w:val="0"/>
              </w:rPr>
            </w:pPr>
            <w:r w:rsidRPr="006748AF">
              <w:rPr>
                <w:b w:val="0"/>
                <w:bCs w:val="0"/>
              </w:rPr>
              <w:t xml:space="preserve">Do roku 2030 by podíl žáků osmé třídy se slabými výsledky v počítačové a informační gramotnosti měl být nižší než 15 %. </w:t>
            </w:r>
          </w:p>
        </w:tc>
      </w:tr>
      <w:tr w:rsidR="0021565B" w:rsidRPr="006748AF" w14:paraId="46133723" w14:textId="77777777" w:rsidTr="003C0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22523049" w14:textId="03250176" w:rsidR="0021565B" w:rsidRPr="006748AF" w:rsidRDefault="0021565B" w:rsidP="003C0310">
            <w:pPr>
              <w:numPr>
                <w:ilvl w:val="0"/>
                <w:numId w:val="4"/>
              </w:numPr>
              <w:spacing w:after="40"/>
              <w:ind w:left="638" w:right="174"/>
              <w:rPr>
                <w:b w:val="0"/>
                <w:bCs w:val="0"/>
              </w:rPr>
            </w:pPr>
            <w:r w:rsidRPr="006748AF">
              <w:rPr>
                <w:b w:val="0"/>
                <w:bCs w:val="0"/>
              </w:rPr>
              <w:t>Do roku 2030 by se předškolního vzdělávání a péče mělo účastnit alespoň 96 % dětí ve věku od 3 let do věku zahájení povinné školní docházky.</w:t>
            </w:r>
          </w:p>
        </w:tc>
      </w:tr>
      <w:tr w:rsidR="0021565B" w:rsidRPr="006748AF" w14:paraId="5DD381CF" w14:textId="77777777" w:rsidTr="003C0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6A3712A7" w14:textId="4429D3DF" w:rsidR="0021565B" w:rsidRPr="006748AF" w:rsidRDefault="0021565B" w:rsidP="003C0310">
            <w:pPr>
              <w:numPr>
                <w:ilvl w:val="0"/>
                <w:numId w:val="4"/>
              </w:numPr>
              <w:spacing w:after="40"/>
              <w:ind w:left="638" w:right="174"/>
              <w:rPr>
                <w:b w:val="0"/>
                <w:bCs w:val="0"/>
              </w:rPr>
            </w:pPr>
            <w:r w:rsidRPr="006748AF">
              <w:rPr>
                <w:b w:val="0"/>
                <w:bCs w:val="0"/>
              </w:rPr>
              <w:t>Do roku 2030 by podíl osob předčasně odcházejících ze vzdělávání a odborné přípravy měl být nižší než 9 %.</w:t>
            </w:r>
          </w:p>
        </w:tc>
      </w:tr>
      <w:tr w:rsidR="0021565B" w:rsidRPr="006748AF" w14:paraId="0EFDCAF2" w14:textId="77777777" w:rsidTr="003C0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1627C6AE" w14:textId="460E3816" w:rsidR="0021565B" w:rsidRPr="006748AF" w:rsidRDefault="0021565B" w:rsidP="003C0310">
            <w:pPr>
              <w:numPr>
                <w:ilvl w:val="0"/>
                <w:numId w:val="4"/>
              </w:numPr>
              <w:spacing w:after="40"/>
              <w:ind w:left="638" w:right="174"/>
              <w:rPr>
                <w:b w:val="0"/>
                <w:bCs w:val="0"/>
              </w:rPr>
            </w:pPr>
            <w:r w:rsidRPr="006748AF">
              <w:rPr>
                <w:b w:val="0"/>
                <w:bCs w:val="0"/>
              </w:rPr>
              <w:t>Do roku 2030 by podíl osob ve věku 25–34 let s dosaženým terciárním vzděláním měl činit</w:t>
            </w:r>
            <w:r w:rsidR="006748AF" w:rsidRPr="006748AF">
              <w:rPr>
                <w:b w:val="0"/>
                <w:bCs w:val="0"/>
              </w:rPr>
              <w:t xml:space="preserve"> alespoň 45 %.</w:t>
            </w:r>
          </w:p>
        </w:tc>
      </w:tr>
      <w:tr w:rsidR="0021565B" w:rsidRPr="006748AF" w14:paraId="186E3497" w14:textId="77777777" w:rsidTr="003C0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395F4F33" w14:textId="4F5476A0" w:rsidR="0021565B" w:rsidRPr="006748AF" w:rsidRDefault="006748AF" w:rsidP="003C0310">
            <w:pPr>
              <w:pStyle w:val="Odstavecseseznamem"/>
              <w:numPr>
                <w:ilvl w:val="0"/>
                <w:numId w:val="4"/>
              </w:numPr>
              <w:spacing w:after="40"/>
              <w:ind w:left="638" w:right="174"/>
              <w:rPr>
                <w:b w:val="0"/>
                <w:bCs w:val="0"/>
              </w:rPr>
            </w:pPr>
            <w:r w:rsidRPr="006748AF">
              <w:rPr>
                <w:b w:val="0"/>
                <w:bCs w:val="0"/>
              </w:rPr>
              <w:t>Do roku 2025 by podíl čerstvých absolventů odborného vzdělávání a přípravy využívajících během svého odborného vzdělávání a přípravy učení se prací měl činit alespoň 60 %.</w:t>
            </w:r>
          </w:p>
        </w:tc>
      </w:tr>
      <w:tr w:rsidR="006748AF" w:rsidRPr="006748AF" w14:paraId="59E1C69F" w14:textId="77777777" w:rsidTr="003C0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0A4D7DDA" w14:textId="458DA4F7" w:rsidR="006748AF" w:rsidRPr="006748AF" w:rsidRDefault="006748AF" w:rsidP="003C0310">
            <w:pPr>
              <w:pStyle w:val="Odstavecseseznamem"/>
              <w:numPr>
                <w:ilvl w:val="0"/>
                <w:numId w:val="4"/>
              </w:numPr>
              <w:spacing w:after="40"/>
              <w:ind w:left="638" w:right="174"/>
              <w:rPr>
                <w:b w:val="0"/>
                <w:bCs w:val="0"/>
              </w:rPr>
            </w:pPr>
            <w:r w:rsidRPr="006748AF">
              <w:rPr>
                <w:b w:val="0"/>
                <w:bCs w:val="0"/>
              </w:rPr>
              <w:t>Do roku 2025 by měl být podíl dospělých ve věku 25–64 let, kteří se v posledních 12 měsících účastnili vzdělávání, alespoň 47 %.</w:t>
            </w:r>
          </w:p>
        </w:tc>
      </w:tr>
    </w:tbl>
    <w:p w14:paraId="7BD13C3E" w14:textId="77777777" w:rsidR="0010466F" w:rsidRDefault="0010466F" w:rsidP="003C0310"/>
    <w:p w14:paraId="31F2FCB1" w14:textId="4432BB3A" w:rsidR="002C2664" w:rsidRPr="0010466F" w:rsidRDefault="002C2664" w:rsidP="003C0310">
      <w:pPr>
        <w:ind w:left="-426"/>
        <w:rPr>
          <w:b/>
          <w:bCs/>
          <w:sz w:val="28"/>
          <w:szCs w:val="28"/>
        </w:rPr>
      </w:pPr>
      <w:r w:rsidRPr="0010466F">
        <w:rPr>
          <w:b/>
          <w:bCs/>
          <w:sz w:val="28"/>
          <w:szCs w:val="28"/>
        </w:rPr>
        <w:t xml:space="preserve">Evropský prostor vzdělávání </w:t>
      </w:r>
    </w:p>
    <w:p w14:paraId="28A4F9DB" w14:textId="103CCC94" w:rsidR="002C2664" w:rsidRDefault="002C2664" w:rsidP="003C0310">
      <w:pPr>
        <w:ind w:left="-426"/>
        <w:rPr>
          <w:rFonts w:cstheme="minorHAnsi"/>
        </w:rPr>
      </w:pPr>
      <w:r>
        <w:t xml:space="preserve">Evropský prostor vzdělávání je snaha EU zajistit do roku 2025 kvalitní a spravedlivé vzdělání pro </w:t>
      </w:r>
      <w:r w:rsidR="003A598C">
        <w:t xml:space="preserve">všechny </w:t>
      </w:r>
      <w:r>
        <w:t xml:space="preserve">občany EU. Přestože oblast vzdělávání je primárně oblastí ČS, </w:t>
      </w:r>
      <w:r w:rsidRPr="002C2664">
        <w:rPr>
          <w:rFonts w:cstheme="minorHAnsi"/>
        </w:rPr>
        <w:t>Evropská unie hraje klíčovou podpůrnou roli</w:t>
      </w:r>
      <w:r w:rsidR="002533BF">
        <w:rPr>
          <w:rFonts w:cstheme="minorHAnsi"/>
        </w:rPr>
        <w:t>, m</w:t>
      </w:r>
      <w:r w:rsidRPr="002C2664">
        <w:rPr>
          <w:rFonts w:cstheme="minorHAnsi"/>
        </w:rPr>
        <w:t>otivuje</w:t>
      </w:r>
      <w:r w:rsidR="002533BF">
        <w:rPr>
          <w:rFonts w:cstheme="minorHAnsi"/>
        </w:rPr>
        <w:t xml:space="preserve"> ČS</w:t>
      </w:r>
      <w:r w:rsidRPr="002C2664">
        <w:rPr>
          <w:rFonts w:cstheme="minorHAnsi"/>
        </w:rPr>
        <w:t xml:space="preserve"> ke spolupráci </w:t>
      </w:r>
      <w:r w:rsidR="002533BF">
        <w:rPr>
          <w:rFonts w:cstheme="minorHAnsi"/>
        </w:rPr>
        <w:t xml:space="preserve">a doplňuje jejich politiku skrze dotační programy. </w:t>
      </w:r>
    </w:p>
    <w:p w14:paraId="29DC06DB" w14:textId="3D9A12D4" w:rsidR="00B0731E" w:rsidRPr="003A598C" w:rsidRDefault="002533BF" w:rsidP="003A598C">
      <w:pPr>
        <w:tabs>
          <w:tab w:val="decimal" w:pos="5387"/>
        </w:tabs>
        <w:rPr>
          <w:rFonts w:cstheme="minorHAnsi"/>
          <w:b/>
          <w:bCs/>
        </w:rPr>
      </w:pPr>
      <w:r w:rsidRPr="003A598C">
        <w:rPr>
          <w:rFonts w:cstheme="minorHAnsi"/>
          <w:b/>
          <w:bCs/>
        </w:rPr>
        <w:t>Šest rozměrů Evropského prostoru vzdělávání</w:t>
      </w:r>
      <w:r w:rsidR="00AE74D7" w:rsidRPr="003A598C">
        <w:rPr>
          <w:rFonts w:cstheme="minorHAnsi"/>
          <w:b/>
          <w:bCs/>
        </w:rPr>
        <w:t>:</w:t>
      </w:r>
    </w:p>
    <w:tbl>
      <w:tblPr>
        <w:tblStyle w:val="Mkatabulky"/>
        <w:tblW w:w="0" w:type="auto"/>
        <w:tblInd w:w="-5" w:type="dxa"/>
        <w:shd w:val="pct5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17"/>
        <w:gridCol w:w="1418"/>
        <w:gridCol w:w="1518"/>
        <w:gridCol w:w="1317"/>
        <w:gridCol w:w="1574"/>
        <w:gridCol w:w="1395"/>
      </w:tblGrid>
      <w:tr w:rsidR="00B0731E" w14:paraId="33416921" w14:textId="77777777" w:rsidTr="003A598C">
        <w:tc>
          <w:tcPr>
            <w:tcW w:w="1417" w:type="dxa"/>
            <w:shd w:val="pct5" w:color="auto" w:fill="FFFFFF" w:themeFill="background1"/>
          </w:tcPr>
          <w:p w14:paraId="28383FA1" w14:textId="2A936A83" w:rsidR="00B0731E" w:rsidRDefault="00B0731E" w:rsidP="00B0731E">
            <w:pPr>
              <w:pStyle w:val="Odstavecseseznamem"/>
              <w:tabs>
                <w:tab w:val="decimal" w:pos="5387"/>
              </w:tabs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Kvalita</w:t>
            </w:r>
          </w:p>
        </w:tc>
        <w:tc>
          <w:tcPr>
            <w:tcW w:w="1418" w:type="dxa"/>
            <w:shd w:val="pct5" w:color="auto" w:fill="FFFFFF" w:themeFill="background1"/>
          </w:tcPr>
          <w:p w14:paraId="10EDD5D6" w14:textId="7E186978" w:rsidR="00B0731E" w:rsidRDefault="00B0731E" w:rsidP="00B0731E">
            <w:pPr>
              <w:pStyle w:val="Odstavecseseznamem"/>
              <w:tabs>
                <w:tab w:val="decimal" w:pos="5387"/>
              </w:tabs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Učitelé a školitelé</w:t>
            </w:r>
          </w:p>
        </w:tc>
        <w:tc>
          <w:tcPr>
            <w:tcW w:w="1518" w:type="dxa"/>
            <w:shd w:val="pct5" w:color="auto" w:fill="FFFFFF" w:themeFill="background1"/>
          </w:tcPr>
          <w:p w14:paraId="0F313E20" w14:textId="099309B9" w:rsidR="00B0731E" w:rsidRDefault="00B0731E" w:rsidP="00B0731E">
            <w:pPr>
              <w:pStyle w:val="Odstavecseseznamem"/>
              <w:tabs>
                <w:tab w:val="decimal" w:pos="5387"/>
              </w:tabs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Ekologická a digitální </w:t>
            </w:r>
            <w:r>
              <w:rPr>
                <w:rFonts w:cstheme="minorHAnsi"/>
              </w:rPr>
              <w:br/>
              <w:t>transformace</w:t>
            </w:r>
          </w:p>
        </w:tc>
        <w:tc>
          <w:tcPr>
            <w:tcW w:w="1317" w:type="dxa"/>
            <w:shd w:val="pct5" w:color="auto" w:fill="FFFFFF" w:themeFill="background1"/>
          </w:tcPr>
          <w:p w14:paraId="6F28FAC2" w14:textId="3FC8E964" w:rsidR="00B0731E" w:rsidRDefault="00B0731E" w:rsidP="00B0731E">
            <w:pPr>
              <w:pStyle w:val="Odstavecseseznamem"/>
              <w:tabs>
                <w:tab w:val="decimal" w:pos="5387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Začleňování </w:t>
            </w:r>
            <w:r>
              <w:rPr>
                <w:rFonts w:cstheme="minorHAnsi"/>
              </w:rPr>
              <w:br/>
              <w:t xml:space="preserve">a genderová rovnost </w:t>
            </w:r>
          </w:p>
        </w:tc>
        <w:tc>
          <w:tcPr>
            <w:tcW w:w="1574" w:type="dxa"/>
            <w:shd w:val="pct5" w:color="auto" w:fill="FFFFFF" w:themeFill="background1"/>
          </w:tcPr>
          <w:p w14:paraId="1228D9F8" w14:textId="1C46078E" w:rsidR="00B0731E" w:rsidRDefault="00B0731E" w:rsidP="00B0731E">
            <w:pPr>
              <w:pStyle w:val="Odstavecseseznamem"/>
              <w:tabs>
                <w:tab w:val="decimal" w:pos="5387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Vysokoškolské vzdělávání </w:t>
            </w:r>
          </w:p>
        </w:tc>
        <w:tc>
          <w:tcPr>
            <w:tcW w:w="1395" w:type="dxa"/>
            <w:shd w:val="pct5" w:color="auto" w:fill="FFFFFF" w:themeFill="background1"/>
          </w:tcPr>
          <w:p w14:paraId="443EAB60" w14:textId="3C1610AF" w:rsidR="00B0731E" w:rsidRDefault="00B0731E" w:rsidP="00B0731E">
            <w:pPr>
              <w:pStyle w:val="Odstavecseseznamem"/>
              <w:tabs>
                <w:tab w:val="decimal" w:pos="5387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Geopolitický rozměr </w:t>
            </w:r>
          </w:p>
        </w:tc>
      </w:tr>
    </w:tbl>
    <w:p w14:paraId="6B840C76" w14:textId="0AA39C76" w:rsidR="0010466F" w:rsidRDefault="0010466F" w:rsidP="003A598C">
      <w:pPr>
        <w:tabs>
          <w:tab w:val="decimal" w:pos="5387"/>
        </w:tabs>
        <w:rPr>
          <w:rFonts w:cstheme="minorHAnsi"/>
        </w:rPr>
      </w:pPr>
      <w:r>
        <w:rPr>
          <w:rFonts w:cstheme="minorHAnsi"/>
        </w:rPr>
        <w:br/>
        <w:t xml:space="preserve">V rámci těchto oblastí pomáhá EU členským státům dosáhnout jednotlivých cílů jako např. zavádění nových osnov, podpora vzdělávacích programů, mezinárodní spolupráce atd. </w:t>
      </w:r>
    </w:p>
    <w:p w14:paraId="33C0C71D" w14:textId="77777777" w:rsidR="0010466F" w:rsidRDefault="0010466F" w:rsidP="003A598C">
      <w:pPr>
        <w:tabs>
          <w:tab w:val="decimal" w:pos="5387"/>
        </w:tabs>
        <w:rPr>
          <w:rFonts w:cstheme="minorHAnsi"/>
        </w:rPr>
      </w:pPr>
    </w:p>
    <w:p w14:paraId="44288D8C" w14:textId="77777777" w:rsidR="0010466F" w:rsidRPr="0010466F" w:rsidRDefault="0010466F" w:rsidP="0010466F">
      <w:r w:rsidRPr="0010466F">
        <w:t>Financování:</w:t>
      </w:r>
    </w:p>
    <w:p w14:paraId="62CB11BE" w14:textId="77777777" w:rsidR="0010466F" w:rsidRPr="0010466F" w:rsidRDefault="0010466F" w:rsidP="0010466F">
      <w:pPr>
        <w:pStyle w:val="Odstavecseseznamem"/>
        <w:numPr>
          <w:ilvl w:val="0"/>
          <w:numId w:val="22"/>
        </w:numPr>
      </w:pPr>
      <w:r w:rsidRPr="0010466F">
        <w:t>Dlouhodobý rozpočet EU 202I-2027</w:t>
      </w:r>
    </w:p>
    <w:p w14:paraId="237496B8" w14:textId="77777777" w:rsidR="0010466F" w:rsidRPr="0010466F" w:rsidRDefault="0010466F" w:rsidP="0010466F">
      <w:pPr>
        <w:pStyle w:val="Odstavecseseznamem"/>
        <w:numPr>
          <w:ilvl w:val="0"/>
          <w:numId w:val="22"/>
        </w:numPr>
      </w:pPr>
      <w:r w:rsidRPr="0010466F">
        <w:t>Nástroj pro oživení a odolnost (</w:t>
      </w:r>
      <w:proofErr w:type="spellStart"/>
      <w:r w:rsidRPr="0010466F">
        <w:t>Next</w:t>
      </w:r>
      <w:proofErr w:type="spellEnd"/>
      <w:r w:rsidRPr="0010466F">
        <w:t xml:space="preserve"> </w:t>
      </w:r>
      <w:proofErr w:type="spellStart"/>
      <w:r w:rsidRPr="0010466F">
        <w:t>Generation</w:t>
      </w:r>
      <w:proofErr w:type="spellEnd"/>
      <w:r w:rsidRPr="0010466F">
        <w:t>)</w:t>
      </w:r>
    </w:p>
    <w:p w14:paraId="4AC6CB83" w14:textId="77777777" w:rsidR="0010466F" w:rsidRPr="0010466F" w:rsidRDefault="0010466F" w:rsidP="0010466F">
      <w:pPr>
        <w:pStyle w:val="Odstavecseseznamem"/>
        <w:numPr>
          <w:ilvl w:val="0"/>
          <w:numId w:val="22"/>
        </w:numPr>
      </w:pPr>
      <w:r w:rsidRPr="0010466F">
        <w:t>Nejvíce financí jde do Programu Erasmus+</w:t>
      </w:r>
    </w:p>
    <w:p w14:paraId="02F129AE" w14:textId="77777777" w:rsidR="004476EF" w:rsidRPr="0010466F" w:rsidRDefault="004476EF" w:rsidP="0010466F">
      <w:pPr>
        <w:ind w:left="-426"/>
      </w:pPr>
    </w:p>
    <w:p w14:paraId="2CEBC1B0" w14:textId="67F02610" w:rsidR="003C0310" w:rsidRPr="0010466F" w:rsidRDefault="003C0310" w:rsidP="0010466F">
      <w:pPr>
        <w:rPr>
          <w:b/>
          <w:bCs/>
          <w:sz w:val="32"/>
          <w:szCs w:val="32"/>
        </w:rPr>
      </w:pPr>
      <w:r w:rsidRPr="0010466F">
        <w:rPr>
          <w:b/>
          <w:bCs/>
          <w:sz w:val="32"/>
          <w:szCs w:val="32"/>
        </w:rPr>
        <w:t>Erasmus</w:t>
      </w:r>
    </w:p>
    <w:p w14:paraId="6B72538D" w14:textId="77777777" w:rsidR="003C0310" w:rsidRDefault="003C0310" w:rsidP="002C2664">
      <w:pPr>
        <w:spacing w:before="120" w:after="120" w:line="256" w:lineRule="auto"/>
        <w:jc w:val="both"/>
      </w:pPr>
      <w:r>
        <w:t>Historie</w:t>
      </w:r>
    </w:p>
    <w:p w14:paraId="1BFC4787" w14:textId="77777777" w:rsidR="003C0310" w:rsidRDefault="003C0310" w:rsidP="004476EF">
      <w:pPr>
        <w:pStyle w:val="Odstavecseseznamem"/>
        <w:numPr>
          <w:ilvl w:val="0"/>
          <w:numId w:val="10"/>
        </w:numPr>
        <w:spacing w:before="120" w:after="120" w:line="256" w:lineRule="auto"/>
        <w:jc w:val="both"/>
      </w:pPr>
      <w:r>
        <w:t>Založen v roce 1987</w:t>
      </w:r>
    </w:p>
    <w:p w14:paraId="3850D0E6" w14:textId="77777777" w:rsidR="003C0310" w:rsidRDefault="003C0310" w:rsidP="004476EF">
      <w:pPr>
        <w:pStyle w:val="Odstavecseseznamem"/>
        <w:numPr>
          <w:ilvl w:val="0"/>
          <w:numId w:val="10"/>
        </w:numPr>
        <w:spacing w:before="120" w:after="120" w:line="256" w:lineRule="auto"/>
        <w:jc w:val="both"/>
      </w:pPr>
      <w:r>
        <w:t>Cílem bylo podpořit užší spolupráci mezi univerzitami a vysokoškolskými institucemi napříč Evropou</w:t>
      </w:r>
    </w:p>
    <w:p w14:paraId="0F6ACCA4" w14:textId="77777777" w:rsidR="003C0310" w:rsidRDefault="003C0310" w:rsidP="004476EF">
      <w:pPr>
        <w:pStyle w:val="Odstavecseseznamem"/>
        <w:numPr>
          <w:ilvl w:val="0"/>
          <w:numId w:val="10"/>
        </w:numPr>
        <w:spacing w:before="120" w:after="120" w:line="256" w:lineRule="auto"/>
        <w:jc w:val="both"/>
      </w:pPr>
      <w:r>
        <w:t>Od roku 2014 Erasmus+</w:t>
      </w:r>
    </w:p>
    <w:p w14:paraId="0F397531" w14:textId="77777777" w:rsidR="003C0310" w:rsidRDefault="003C0310" w:rsidP="004476EF">
      <w:pPr>
        <w:pStyle w:val="Odstavecseseznamem"/>
        <w:numPr>
          <w:ilvl w:val="0"/>
          <w:numId w:val="10"/>
        </w:numPr>
        <w:spacing w:before="120" w:after="120" w:line="256" w:lineRule="auto"/>
        <w:jc w:val="both"/>
      </w:pPr>
      <w:r>
        <w:t xml:space="preserve">Nyní 2021-2027 druhé období financování Erasmus+ </w:t>
      </w:r>
    </w:p>
    <w:p w14:paraId="2A518276" w14:textId="105496D0" w:rsidR="003C0310" w:rsidRDefault="003C0310" w:rsidP="002C2664">
      <w:pPr>
        <w:spacing w:before="120" w:after="120" w:line="256" w:lineRule="auto"/>
        <w:jc w:val="both"/>
      </w:pPr>
      <w:r>
        <w:t>Cíle programu</w:t>
      </w:r>
      <w:r w:rsidR="004476EF">
        <w:t xml:space="preserve">: </w:t>
      </w:r>
    </w:p>
    <w:p w14:paraId="1406C269" w14:textId="078F4F72" w:rsidR="003C0310" w:rsidRDefault="003C0310" w:rsidP="004476EF">
      <w:pPr>
        <w:pStyle w:val="Odstavecseseznamem"/>
        <w:spacing w:before="120" w:after="120" w:line="256" w:lineRule="auto"/>
        <w:ind w:left="360"/>
        <w:jc w:val="both"/>
      </w:pPr>
      <w:r>
        <w:t>Tři „klíčové akce“</w:t>
      </w:r>
    </w:p>
    <w:p w14:paraId="625CEBF1" w14:textId="6C553924" w:rsidR="003C0310" w:rsidRDefault="003C0310" w:rsidP="004476EF">
      <w:pPr>
        <w:pStyle w:val="Odstavecseseznamem"/>
        <w:numPr>
          <w:ilvl w:val="0"/>
          <w:numId w:val="11"/>
        </w:numPr>
        <w:spacing w:before="120" w:after="120" w:line="256" w:lineRule="auto"/>
        <w:jc w:val="both"/>
      </w:pPr>
      <w:r>
        <w:t>Vzdělávací mobilita jednotlivců</w:t>
      </w:r>
    </w:p>
    <w:p w14:paraId="21D4666D" w14:textId="29FC49F4" w:rsidR="003C0310" w:rsidRDefault="003C0310" w:rsidP="004476EF">
      <w:pPr>
        <w:pStyle w:val="Odstavecseseznamem"/>
        <w:numPr>
          <w:ilvl w:val="0"/>
          <w:numId w:val="11"/>
        </w:numPr>
        <w:spacing w:before="120" w:after="120" w:line="256" w:lineRule="auto"/>
        <w:jc w:val="both"/>
      </w:pPr>
      <w:r>
        <w:t>Spolupráce mezi organizacemi a institucemi</w:t>
      </w:r>
    </w:p>
    <w:p w14:paraId="7E90C267" w14:textId="77777777" w:rsidR="004476EF" w:rsidRDefault="003C0310" w:rsidP="004476EF">
      <w:pPr>
        <w:pStyle w:val="Odstavecseseznamem"/>
        <w:numPr>
          <w:ilvl w:val="0"/>
          <w:numId w:val="11"/>
        </w:numPr>
        <w:spacing w:before="120" w:after="120" w:line="256" w:lineRule="auto"/>
        <w:jc w:val="both"/>
      </w:pPr>
      <w:r>
        <w:t>Podpora politiky rozvoje a spolupráce</w:t>
      </w:r>
    </w:p>
    <w:p w14:paraId="40CCB9FE" w14:textId="2646A0BA" w:rsidR="003C0310" w:rsidRDefault="003C0310" w:rsidP="004476EF">
      <w:pPr>
        <w:spacing w:before="120" w:after="120" w:line="256" w:lineRule="auto"/>
        <w:ind w:left="360"/>
        <w:jc w:val="both"/>
      </w:pPr>
      <w:r>
        <w:t>Akce „Jean Monet“ – podporují výuku, výzkum a debaty o otázkách EI</w:t>
      </w:r>
    </w:p>
    <w:p w14:paraId="09081706" w14:textId="77777777" w:rsidR="003C0310" w:rsidRDefault="003C0310" w:rsidP="004476EF">
      <w:pPr>
        <w:spacing w:before="120" w:after="120" w:line="256" w:lineRule="auto"/>
        <w:jc w:val="both"/>
      </w:pPr>
      <w:r>
        <w:t>Priority druhého období financování</w:t>
      </w:r>
    </w:p>
    <w:p w14:paraId="1667FB2D" w14:textId="77777777" w:rsidR="003C0310" w:rsidRDefault="003C0310" w:rsidP="004476EF">
      <w:pPr>
        <w:pStyle w:val="Odstavecseseznamem"/>
        <w:numPr>
          <w:ilvl w:val="0"/>
          <w:numId w:val="14"/>
        </w:numPr>
        <w:spacing w:before="120" w:after="120" w:line="256" w:lineRule="auto"/>
        <w:jc w:val="both"/>
      </w:pPr>
      <w:r>
        <w:t>Podpora ekologické transformace</w:t>
      </w:r>
    </w:p>
    <w:p w14:paraId="2E1BB774" w14:textId="77777777" w:rsidR="003C0310" w:rsidRDefault="003C0310" w:rsidP="004476EF">
      <w:pPr>
        <w:pStyle w:val="Odstavecseseznamem"/>
        <w:numPr>
          <w:ilvl w:val="0"/>
          <w:numId w:val="14"/>
        </w:numPr>
        <w:spacing w:before="120" w:after="120" w:line="256" w:lineRule="auto"/>
        <w:jc w:val="both"/>
      </w:pPr>
      <w:r>
        <w:t xml:space="preserve">Podpora digitální transformace </w:t>
      </w:r>
    </w:p>
    <w:p w14:paraId="7859A944" w14:textId="77777777" w:rsidR="003C0310" w:rsidRDefault="003C0310" w:rsidP="004476EF">
      <w:pPr>
        <w:pStyle w:val="Odstavecseseznamem"/>
        <w:numPr>
          <w:ilvl w:val="0"/>
          <w:numId w:val="14"/>
        </w:numPr>
        <w:spacing w:before="120" w:after="120" w:line="256" w:lineRule="auto"/>
        <w:jc w:val="both"/>
      </w:pPr>
      <w:r>
        <w:t>Podpora sociálního začleňování</w:t>
      </w:r>
    </w:p>
    <w:p w14:paraId="22BF8486" w14:textId="77777777" w:rsidR="003C0310" w:rsidRDefault="003C0310" w:rsidP="004476EF">
      <w:pPr>
        <w:pStyle w:val="Odstavecseseznamem"/>
        <w:numPr>
          <w:ilvl w:val="0"/>
          <w:numId w:val="14"/>
        </w:numPr>
        <w:spacing w:before="120" w:after="120" w:line="256" w:lineRule="auto"/>
        <w:jc w:val="both"/>
      </w:pPr>
      <w:r>
        <w:t>Podpora silnější účasti na demokratickém životě, společných hodnotách a občanské angažovanosti</w:t>
      </w:r>
    </w:p>
    <w:p w14:paraId="284BD509" w14:textId="77777777" w:rsidR="003C0310" w:rsidRDefault="003C0310" w:rsidP="004476EF">
      <w:pPr>
        <w:spacing w:before="120" w:after="120" w:line="256" w:lineRule="auto"/>
        <w:jc w:val="both"/>
      </w:pPr>
      <w:r>
        <w:t>Rozpočet</w:t>
      </w:r>
    </w:p>
    <w:p w14:paraId="00387145" w14:textId="77777777" w:rsidR="003C0310" w:rsidRDefault="003C0310" w:rsidP="004476EF">
      <w:pPr>
        <w:pStyle w:val="Odstavecseseznamem"/>
        <w:numPr>
          <w:ilvl w:val="0"/>
          <w:numId w:val="17"/>
        </w:numPr>
        <w:spacing w:before="120" w:after="120" w:line="256" w:lineRule="auto"/>
        <w:ind w:left="360"/>
        <w:jc w:val="both"/>
      </w:pPr>
      <w:r>
        <w:t xml:space="preserve">26,8 miliard eur na období </w:t>
      </w:r>
    </w:p>
    <w:p w14:paraId="06972BB5" w14:textId="31042FEA" w:rsidR="003C0310" w:rsidRDefault="003C0310" w:rsidP="004476EF">
      <w:pPr>
        <w:pStyle w:val="Odstavecseseznamem"/>
        <w:numPr>
          <w:ilvl w:val="0"/>
          <w:numId w:val="17"/>
        </w:numPr>
        <w:spacing w:before="120" w:after="120" w:line="256" w:lineRule="auto"/>
        <w:ind w:left="360"/>
        <w:jc w:val="both"/>
      </w:pPr>
      <w:r>
        <w:t>2,2 miliardy eur z nástroje EU pro vnější spolupráci</w:t>
      </w:r>
    </w:p>
    <w:p w14:paraId="6EC63DA6" w14:textId="77777777" w:rsidR="006748AF" w:rsidRPr="006748AF" w:rsidRDefault="006748AF" w:rsidP="006748AF">
      <w:pPr>
        <w:spacing w:after="40"/>
        <w:ind w:left="-567" w:right="-995"/>
      </w:pPr>
    </w:p>
    <w:sectPr w:rsidR="006748AF" w:rsidRPr="006748AF" w:rsidSect="001F553F">
      <w:pgSz w:w="11906" w:h="16838"/>
      <w:pgMar w:top="426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0B6"/>
    <w:multiLevelType w:val="hybridMultilevel"/>
    <w:tmpl w:val="EB2C8B92"/>
    <w:lvl w:ilvl="0" w:tplc="D234B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0ED85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7CB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EC16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8C0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E0F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546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66B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BEE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2068A5"/>
    <w:multiLevelType w:val="hybridMultilevel"/>
    <w:tmpl w:val="ADD41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51749"/>
    <w:multiLevelType w:val="hybridMultilevel"/>
    <w:tmpl w:val="F3406A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164"/>
    <w:multiLevelType w:val="hybridMultilevel"/>
    <w:tmpl w:val="1FD243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3D66AA"/>
    <w:multiLevelType w:val="hybridMultilevel"/>
    <w:tmpl w:val="817034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5D5F06"/>
    <w:multiLevelType w:val="hybridMultilevel"/>
    <w:tmpl w:val="81703490"/>
    <w:lvl w:ilvl="0" w:tplc="E45E7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0CBD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A4E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C069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CE50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68A0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5025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CE0A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0A38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D93E32"/>
    <w:multiLevelType w:val="hybridMultilevel"/>
    <w:tmpl w:val="DE2276CC"/>
    <w:lvl w:ilvl="0" w:tplc="1018D6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B0867"/>
    <w:multiLevelType w:val="hybridMultilevel"/>
    <w:tmpl w:val="03D423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5F2E49"/>
    <w:multiLevelType w:val="hybridMultilevel"/>
    <w:tmpl w:val="DC822A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C636DF"/>
    <w:multiLevelType w:val="hybridMultilevel"/>
    <w:tmpl w:val="7B9CB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D4396"/>
    <w:multiLevelType w:val="hybridMultilevel"/>
    <w:tmpl w:val="0A8C1B22"/>
    <w:lvl w:ilvl="0" w:tplc="2DCA0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321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20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60C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546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248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245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6A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284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C0F228D"/>
    <w:multiLevelType w:val="hybridMultilevel"/>
    <w:tmpl w:val="78BAEED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EA120C"/>
    <w:multiLevelType w:val="hybridMultilevel"/>
    <w:tmpl w:val="FC607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E2BE0"/>
    <w:multiLevelType w:val="hybridMultilevel"/>
    <w:tmpl w:val="B5529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128EB"/>
    <w:multiLevelType w:val="hybridMultilevel"/>
    <w:tmpl w:val="0478B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C3DF1"/>
    <w:multiLevelType w:val="hybridMultilevel"/>
    <w:tmpl w:val="F90E3A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B16195"/>
    <w:multiLevelType w:val="hybridMultilevel"/>
    <w:tmpl w:val="5D480D3E"/>
    <w:lvl w:ilvl="0" w:tplc="BFB6269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78B5048"/>
    <w:multiLevelType w:val="hybridMultilevel"/>
    <w:tmpl w:val="3C004824"/>
    <w:lvl w:ilvl="0" w:tplc="040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 w15:restartNumberingAfterBreak="0">
    <w:nsid w:val="7B0A0732"/>
    <w:multiLevelType w:val="hybridMultilevel"/>
    <w:tmpl w:val="D6C60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F7CF2"/>
    <w:multiLevelType w:val="hybridMultilevel"/>
    <w:tmpl w:val="2A64BD02"/>
    <w:lvl w:ilvl="0" w:tplc="8B5608F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A7FACC6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610A563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1F984E1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21D8DEF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07628F6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C73858E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8622613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F9E8CC1C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20" w15:restartNumberingAfterBreak="0">
    <w:nsid w:val="7FAF2BAF"/>
    <w:multiLevelType w:val="hybridMultilevel"/>
    <w:tmpl w:val="3C82C892"/>
    <w:lvl w:ilvl="0" w:tplc="3C700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9A30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2CB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AE3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C41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4AD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D66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948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6822639">
    <w:abstractNumId w:val="19"/>
  </w:num>
  <w:num w:numId="2" w16cid:durableId="945380106">
    <w:abstractNumId w:val="10"/>
  </w:num>
  <w:num w:numId="3" w16cid:durableId="869417898">
    <w:abstractNumId w:val="20"/>
  </w:num>
  <w:num w:numId="4" w16cid:durableId="912350268">
    <w:abstractNumId w:val="5"/>
  </w:num>
  <w:num w:numId="5" w16cid:durableId="1455102699">
    <w:abstractNumId w:val="4"/>
  </w:num>
  <w:num w:numId="6" w16cid:durableId="1742677105">
    <w:abstractNumId w:val="6"/>
  </w:num>
  <w:num w:numId="7" w16cid:durableId="431123245">
    <w:abstractNumId w:val="6"/>
  </w:num>
  <w:num w:numId="8" w16cid:durableId="664164450">
    <w:abstractNumId w:val="17"/>
  </w:num>
  <w:num w:numId="9" w16cid:durableId="1680887428">
    <w:abstractNumId w:val="15"/>
  </w:num>
  <w:num w:numId="10" w16cid:durableId="1241059755">
    <w:abstractNumId w:val="2"/>
  </w:num>
  <w:num w:numId="11" w16cid:durableId="583494429">
    <w:abstractNumId w:val="18"/>
  </w:num>
  <w:num w:numId="12" w16cid:durableId="38744579">
    <w:abstractNumId w:val="16"/>
  </w:num>
  <w:num w:numId="13" w16cid:durableId="1151408871">
    <w:abstractNumId w:val="7"/>
  </w:num>
  <w:num w:numId="14" w16cid:durableId="708845296">
    <w:abstractNumId w:val="3"/>
  </w:num>
  <w:num w:numId="15" w16cid:durableId="1946107567">
    <w:abstractNumId w:val="1"/>
  </w:num>
  <w:num w:numId="16" w16cid:durableId="969171079">
    <w:abstractNumId w:val="13"/>
  </w:num>
  <w:num w:numId="17" w16cid:durableId="1884978669">
    <w:abstractNumId w:val="12"/>
  </w:num>
  <w:num w:numId="18" w16cid:durableId="526455212">
    <w:abstractNumId w:val="8"/>
  </w:num>
  <w:num w:numId="19" w16cid:durableId="2102795324">
    <w:abstractNumId w:val="14"/>
  </w:num>
  <w:num w:numId="20" w16cid:durableId="1398431468">
    <w:abstractNumId w:val="0"/>
  </w:num>
  <w:num w:numId="21" w16cid:durableId="208149126">
    <w:abstractNumId w:val="9"/>
  </w:num>
  <w:num w:numId="22" w16cid:durableId="14165918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5B"/>
    <w:rsid w:val="0010466F"/>
    <w:rsid w:val="001F553F"/>
    <w:rsid w:val="0021565B"/>
    <w:rsid w:val="00252451"/>
    <w:rsid w:val="002533BF"/>
    <w:rsid w:val="002C2664"/>
    <w:rsid w:val="002F0409"/>
    <w:rsid w:val="003A598C"/>
    <w:rsid w:val="003C0310"/>
    <w:rsid w:val="004476EF"/>
    <w:rsid w:val="00494149"/>
    <w:rsid w:val="004C05A5"/>
    <w:rsid w:val="006748AF"/>
    <w:rsid w:val="00815BA8"/>
    <w:rsid w:val="00AE74D7"/>
    <w:rsid w:val="00B0731E"/>
    <w:rsid w:val="00B72398"/>
    <w:rsid w:val="00D8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2B5EC"/>
  <w15:chartTrackingRefBased/>
  <w15:docId w15:val="{1641D04F-24F8-4DB2-B92A-C5D44665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156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5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565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56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565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56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56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56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56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565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56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565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565B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565B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565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565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565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565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156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15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156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156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15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1565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1565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1565B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1565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1565B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1565B"/>
    <w:rPr>
      <w:b/>
      <w:bCs/>
      <w:smallCaps/>
      <w:color w:val="2E74B5" w:themeColor="accent1" w:themeShade="BF"/>
      <w:spacing w:val="5"/>
    </w:rPr>
  </w:style>
  <w:style w:type="table" w:styleId="Mkatabulky">
    <w:name w:val="Table Grid"/>
    <w:basedOn w:val="Normlntabulka"/>
    <w:uiPriority w:val="39"/>
    <w:rsid w:val="0021565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6748AF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8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3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7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6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8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2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77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51980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1499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233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45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3379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6393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5896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51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0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5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9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0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2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333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Douděrová</dc:creator>
  <cp:keywords/>
  <dc:description/>
  <cp:lastModifiedBy>Eliška</cp:lastModifiedBy>
  <cp:revision>2</cp:revision>
  <dcterms:created xsi:type="dcterms:W3CDTF">2024-04-04T09:17:00Z</dcterms:created>
  <dcterms:modified xsi:type="dcterms:W3CDTF">2024-04-04T09:17:00Z</dcterms:modified>
</cp:coreProperties>
</file>