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B164" w14:textId="79C21A15" w:rsidR="001E0505" w:rsidRDefault="001E0505" w:rsidP="00F604A7">
      <w:pPr>
        <w:ind w:left="720" w:hanging="360"/>
        <w:jc w:val="both"/>
      </w:pPr>
      <w:r>
        <w:t>TŘINÁCTERO MEZIAGENTURNÍ MEZIOBOROVÉ SPOLUPRÁCE</w:t>
      </w:r>
    </w:p>
    <w:p w14:paraId="266F7E6F" w14:textId="486FA507" w:rsidR="001E0505" w:rsidRPr="001E0505" w:rsidRDefault="001E0505" w:rsidP="00F604A7">
      <w:pPr>
        <w:ind w:left="720" w:hanging="360"/>
        <w:jc w:val="both"/>
        <w:rPr>
          <w:i/>
          <w:iCs/>
        </w:rPr>
      </w:pPr>
    </w:p>
    <w:p w14:paraId="1B388CA1" w14:textId="5B394187" w:rsidR="001E0505" w:rsidRDefault="001E0505" w:rsidP="00F604A7">
      <w:pPr>
        <w:ind w:left="720" w:hanging="360"/>
        <w:jc w:val="both"/>
        <w:rPr>
          <w:i/>
          <w:iCs/>
        </w:rPr>
      </w:pPr>
      <w:r w:rsidRPr="001E0505">
        <w:rPr>
          <w:i/>
          <w:iCs/>
          <w:highlight w:val="yellow"/>
        </w:rPr>
        <w:t>Citace</w:t>
      </w:r>
    </w:p>
    <w:p w14:paraId="3E93B3C1" w14:textId="4363D98A" w:rsidR="001E0505" w:rsidRDefault="001E0505" w:rsidP="00F604A7">
      <w:pPr>
        <w:ind w:left="720" w:hanging="360"/>
        <w:jc w:val="both"/>
        <w:rPr>
          <w:i/>
          <w:iCs/>
        </w:rPr>
      </w:pPr>
    </w:p>
    <w:p w14:paraId="689D6895" w14:textId="77777777" w:rsidR="001E0505" w:rsidRPr="001E0505" w:rsidRDefault="001E0505" w:rsidP="00F604A7">
      <w:pPr>
        <w:ind w:left="720" w:hanging="360"/>
        <w:jc w:val="both"/>
        <w:rPr>
          <w:i/>
          <w:iCs/>
        </w:rPr>
      </w:pPr>
    </w:p>
    <w:p w14:paraId="34D1E190" w14:textId="5FC35350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Zvažte kapacity pro navázání spolupráce</w:t>
      </w:r>
      <w:r w:rsidR="001E0505">
        <w:rPr>
          <w:rFonts w:ascii="Cairo" w:hAnsi="Cairo" w:cs="Cairo"/>
          <w:b/>
          <w:bCs/>
        </w:rPr>
        <w:t>.</w:t>
      </w:r>
    </w:p>
    <w:p w14:paraId="72C71186" w14:textId="77777777" w:rsidR="00F604A7" w:rsidRPr="00A05DF3" w:rsidRDefault="00F604A7" w:rsidP="00F604A7">
      <w:pPr>
        <w:pStyle w:val="Odstavecseseznamem"/>
        <w:jc w:val="both"/>
        <w:rPr>
          <w:rFonts w:ascii="Cairo" w:hAnsi="Cairo" w:cs="Cairo"/>
        </w:rPr>
      </w:pPr>
      <w:r>
        <w:rPr>
          <w:rFonts w:ascii="Cairo" w:hAnsi="Cairo" w:cs="Cairo"/>
        </w:rPr>
        <w:t>V návaznosti na mapování potřeb a určení priorit v zajištění paliativní péče v organizaci, si zvažte, zda máte kapacity na to vstupovat do jednání o spolupráci, v jakém rozsahu a v jakém personálním složení.</w:t>
      </w:r>
    </w:p>
    <w:p w14:paraId="59F83511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Chtějte spolupracovat, buďte otevření.</w:t>
      </w:r>
    </w:p>
    <w:p w14:paraId="2218C2E4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Pro spolupráci je zásadní vůle spolupracovat, je důležitá podpora ze strany vedení, které se zapojí dojednání. Stejně důležitá je připravenost a otevřenost týmu pracovníků přijmout více osob rozdílných profesí do péče o klienta. Spolupráci můžete iniciovat sami, vyhledávejte příležitosti aktivně.</w:t>
      </w:r>
    </w:p>
    <w:p w14:paraId="2AF96604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Poznejte se!</w:t>
      </w:r>
    </w:p>
    <w:p w14:paraId="3CCB8257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V paliativní péči je mimořádně důležitá zdravá důvěra a vzájemné porozumění. Ty stojí mimo jiné na osobních kontaktech, sílených hodnotách, představách o péči i na tom, že lidé používají společný jazyk. Je dobré poznat i každodenní praxi a reálné možnosti obou partnerů.</w:t>
      </w:r>
    </w:p>
    <w:p w14:paraId="66542A1B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Řekněte si, o co usilujete a jaká jsou vaše očekávání a možnosti</w:t>
      </w:r>
    </w:p>
    <w:p w14:paraId="45E03A3B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Od sdílené vize spolupráce se budou odvíjet její cíle. Je pravděpodobné, že se spolupráce bude s rozvojem zkušeností proměňovat a její rozsah, forma i obsah se budou dále upřesňovat či měnit. Součástí společné představy je i stanovení toho, kdy budou organizace považovat spolupráci za úspěšnou.</w:t>
      </w:r>
      <w:r>
        <w:rPr>
          <w:rFonts w:ascii="Cairo" w:hAnsi="Cairo" w:cs="Cairo"/>
        </w:rPr>
        <w:t xml:space="preserve"> Též je důležité i sdílet možnosti každé z organizací, jejich vnitřní kapacity, rozsah možné spolupráce.</w:t>
      </w:r>
    </w:p>
    <w:p w14:paraId="4626BCE7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Dohodněte se na způsobu financování.</w:t>
      </w:r>
    </w:p>
    <w:p w14:paraId="5729D118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 xml:space="preserve">Tento krok může být součástí smlouvy o spolupráci. Častěji půjde o transparentní a srozumitelný popis vzájemných vztahů a finančních toků mezi jednotlivými účastníky, včetně klientů a jejich blízkých. Zjednodušené pravidlo říká, že platit by měl ten, kdo objednává. Kolik a za co </w:t>
      </w:r>
      <w:proofErr w:type="gramStart"/>
      <w:r w:rsidRPr="000F47D7">
        <w:rPr>
          <w:rFonts w:ascii="Cairo" w:hAnsi="Cairo" w:cs="Cairo"/>
        </w:rPr>
        <w:t>bude</w:t>
      </w:r>
      <w:proofErr w:type="gramEnd"/>
      <w:r w:rsidRPr="000F47D7">
        <w:rPr>
          <w:rFonts w:ascii="Cairo" w:hAnsi="Cairo" w:cs="Cairo"/>
        </w:rPr>
        <w:t xml:space="preserve"> platit by každý </w:t>
      </w:r>
      <w:proofErr w:type="gramStart"/>
      <w:r w:rsidRPr="000F47D7">
        <w:rPr>
          <w:rFonts w:ascii="Cairo" w:hAnsi="Cairo" w:cs="Cairo"/>
        </w:rPr>
        <w:t>měl</w:t>
      </w:r>
      <w:proofErr w:type="gramEnd"/>
      <w:r w:rsidRPr="000F47D7">
        <w:rPr>
          <w:rFonts w:ascii="Cairo" w:hAnsi="Cairo" w:cs="Cairo"/>
        </w:rPr>
        <w:t xml:space="preserve"> vědět předem.</w:t>
      </w:r>
    </w:p>
    <w:p w14:paraId="7A476420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Stanovte si podobu smlouvy či dohody o spolupráci.</w:t>
      </w:r>
    </w:p>
    <w:p w14:paraId="1FD91ABC" w14:textId="77777777" w:rsidR="00F604A7" w:rsidRPr="002B6DCE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Smlouva může být v počáteční fázi ústní, s prohlubující se spoluprací je vhodné ji zdokumentovat. Může obsahovat povinnosti a závazky obou stran i s případnými sankcemi aj., stejně tak může mít povahu deklaratorní – strany vyjadřují vůli postupovat popsanými způsoby ke společnému cíli.</w:t>
      </w:r>
    </w:p>
    <w:p w14:paraId="66E3628E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Stanovte si, za jakých podmínek a jakým způsobem dochází ke kontaktu/indikaci služby.</w:t>
      </w:r>
    </w:p>
    <w:p w14:paraId="3C48CDA2" w14:textId="77777777" w:rsidR="00F604A7" w:rsidRPr="00321AF6" w:rsidRDefault="00F604A7" w:rsidP="00F604A7">
      <w:pPr>
        <w:pStyle w:val="Odstavecseseznamem"/>
        <w:jc w:val="both"/>
        <w:rPr>
          <w:rFonts w:ascii="Cairo" w:hAnsi="Cairo" w:cs="Cairo"/>
        </w:rPr>
      </w:pPr>
      <w:r>
        <w:rPr>
          <w:rFonts w:ascii="Cairo" w:hAnsi="Cairo" w:cs="Cairo"/>
        </w:rPr>
        <w:t>Domluvte se, co budou indikační kritéria pro spolupráci, kdo bude kontaktními osobami za organizace, kdo má rozhodovací pravomoc, tedy kdo stvrzuje rozsah a podobu konkrétní spolupráce.</w:t>
      </w:r>
    </w:p>
    <w:p w14:paraId="500596D8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Domluva na praktickém průběhu péče – vytvořte manuál.</w:t>
      </w:r>
    </w:p>
    <w:p w14:paraId="0178B1E4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Zpracování metodických postupů, schémat procesů, šablon dokumentů aj. usnadní orientaci ve třech hlavních fázích spolupráce na jednotlivých případech souběžného poskytování péče:</w:t>
      </w:r>
    </w:p>
    <w:p w14:paraId="0E4D2E01" w14:textId="5CE53D3D" w:rsidR="00F604A7" w:rsidRPr="000F47D7" w:rsidRDefault="00F604A7" w:rsidP="001E0505">
      <w:pPr>
        <w:pStyle w:val="Odstavecseseznamem"/>
        <w:numPr>
          <w:ilvl w:val="1"/>
          <w:numId w:val="2"/>
        </w:numPr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iniciace – kdo, za jakých okolností, kdy a komu dá impuls, že je na místě podniknout první kroky</w:t>
      </w:r>
    </w:p>
    <w:p w14:paraId="41EA9C5A" w14:textId="40744E93" w:rsidR="00F604A7" w:rsidRPr="000F47D7" w:rsidRDefault="00F604A7" w:rsidP="001E0505">
      <w:pPr>
        <w:pStyle w:val="Odstavecseseznamem"/>
        <w:numPr>
          <w:ilvl w:val="1"/>
          <w:numId w:val="2"/>
        </w:numPr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průběh péče – postupy, záznamy aj.</w:t>
      </w:r>
    </w:p>
    <w:p w14:paraId="607D12AE" w14:textId="48F74434" w:rsidR="00F604A7" w:rsidRPr="00551958" w:rsidRDefault="00F604A7" w:rsidP="001E0505">
      <w:pPr>
        <w:pStyle w:val="Odstavecseseznamem"/>
        <w:numPr>
          <w:ilvl w:val="1"/>
          <w:numId w:val="2"/>
        </w:numPr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 xml:space="preserve">ukončení – může nastat řada okolností jiných než úmrtí klienta, které budou důvodem k ukončení spolupráce na daném případu – zotavení, výskyt jiných nečekaných zdravotních komplikací vyžadujících hospitalizaci apod.  </w:t>
      </w:r>
    </w:p>
    <w:p w14:paraId="3942879C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Zajistěte organizačně-technické aspekty spolupráce.</w:t>
      </w:r>
    </w:p>
    <w:p w14:paraId="485942D0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V tomto kroku je vhodné řešit technickou otázku sdílení informací, sdílení pomůcek a techniky, hospodaření se zdravotnickým materiálem a léky a další. Současně je vhodné řešit otázky fyzického zázemí pro tým spolupracující organizace (šatna, parkování apod.), vzájemnou identifikaci členů týmů (zejména při spolupráci větších služeb či organizací).</w:t>
      </w:r>
    </w:p>
    <w:p w14:paraId="236508EB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lastRenderedPageBreak/>
        <w:t>Domluvte se na míře zapojení rodinných příslušníků a způsobech komunikace s nimi.</w:t>
      </w:r>
    </w:p>
    <w:p w14:paraId="7613F3AA" w14:textId="77777777" w:rsidR="00F604A7" w:rsidRDefault="00F604A7" w:rsidP="00F604A7">
      <w:pPr>
        <w:pStyle w:val="Odstavecseseznamem"/>
        <w:jc w:val="both"/>
        <w:rPr>
          <w:rFonts w:ascii="Cairo" w:hAnsi="Cairo" w:cs="Cairo"/>
        </w:rPr>
      </w:pPr>
      <w:r>
        <w:rPr>
          <w:rFonts w:ascii="Cairo" w:hAnsi="Cairo" w:cs="Cairo"/>
        </w:rPr>
        <w:t>Vyjasnění role blízkých klienta napomůže v hladkém poskytování péče, stejně jako v nastavení vztahů s rodinnými příslušníky, kteří bývají nedílnou součástí přirozeného systému člověka.</w:t>
      </w:r>
    </w:p>
    <w:p w14:paraId="7677A7DB" w14:textId="77777777" w:rsidR="00F604A7" w:rsidRPr="001E0505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Problémy a neshody se objeví – řešte je!</w:t>
      </w:r>
    </w:p>
    <w:p w14:paraId="676F7A5C" w14:textId="77777777" w:rsidR="00F604A7" w:rsidRPr="000F47D7" w:rsidRDefault="00F604A7" w:rsidP="00F604A7">
      <w:pPr>
        <w:pStyle w:val="Odstavecseseznamem"/>
        <w:jc w:val="both"/>
        <w:rPr>
          <w:rFonts w:ascii="Cairo" w:hAnsi="Cairo" w:cs="Cairo"/>
        </w:rPr>
      </w:pPr>
      <w:r w:rsidRPr="000F47D7">
        <w:rPr>
          <w:rFonts w:ascii="Cairo" w:hAnsi="Cairo" w:cs="Cairo"/>
        </w:rPr>
        <w:t>Je třeba počítat s tím, že problémy a konflikty se objeví. Nastavte pravidla komunikace natolik otevřeně, aby bylo možné se ozvat v případě, že taková situace nastane. A ozývejte se včas. Může pomoci i společné heslo, slovo, které otevírá prostor.</w:t>
      </w:r>
    </w:p>
    <w:p w14:paraId="3AB61ABA" w14:textId="3CEBFC52" w:rsidR="00F604A7" w:rsidRDefault="00F604A7" w:rsidP="00F604A7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Reflektujte probíhající péči.</w:t>
      </w:r>
    </w:p>
    <w:p w14:paraId="443BB0AD" w14:textId="40F5C35A" w:rsidR="001E0505" w:rsidRDefault="001E0505" w:rsidP="001E0505">
      <w:pPr>
        <w:pStyle w:val="Odstavecseseznamem"/>
        <w:jc w:val="both"/>
        <w:rPr>
          <w:rFonts w:ascii="Cairo" w:hAnsi="Cairo" w:cs="Cairo"/>
          <w:b/>
          <w:bCs/>
        </w:rPr>
      </w:pPr>
      <w:r w:rsidRPr="000F47D7">
        <w:rPr>
          <w:rFonts w:ascii="Cairo" w:hAnsi="Cairo" w:cs="Cairo"/>
        </w:rPr>
        <w:t>Kromě setkávání nad koncepčními otázkami či ryze praktickými organizačními tématy je nesmírně důležitý prvek reflexe průběhu konkrétních epizod spolupráce. Pravidelnost a struktura může přispět k efektivnímu průběhu setkání a rovněž podpoří existující vztahy.</w:t>
      </w:r>
    </w:p>
    <w:p w14:paraId="724866CF" w14:textId="16B2018D" w:rsidR="009F1DFD" w:rsidRPr="001E0505" w:rsidRDefault="00F604A7" w:rsidP="001E0505">
      <w:pPr>
        <w:pStyle w:val="Odstavecseseznamem"/>
        <w:numPr>
          <w:ilvl w:val="0"/>
          <w:numId w:val="1"/>
        </w:numPr>
        <w:jc w:val="both"/>
        <w:rPr>
          <w:rFonts w:ascii="Cairo" w:hAnsi="Cairo" w:cs="Cairo"/>
          <w:b/>
          <w:bCs/>
        </w:rPr>
      </w:pPr>
      <w:r w:rsidRPr="001E0505">
        <w:rPr>
          <w:rFonts w:ascii="Cairo" w:hAnsi="Cairo" w:cs="Cairo"/>
          <w:b/>
          <w:bCs/>
        </w:rPr>
        <w:t>I když zrovna společně neposkytujete péči, udržujte kontakty.</w:t>
      </w:r>
    </w:p>
    <w:sectPr w:rsidR="009F1DFD" w:rsidRPr="001E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iro">
    <w:altName w:val="Calibri"/>
    <w:charset w:val="EE"/>
    <w:family w:val="auto"/>
    <w:pitch w:val="variable"/>
    <w:sig w:usb0="00002007" w:usb1="00000001" w:usb2="00000008" w:usb3="00000000" w:csb0="000000D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12B3E"/>
    <w:multiLevelType w:val="hybridMultilevel"/>
    <w:tmpl w:val="C2D4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9CCA6E">
      <w:numFmt w:val="bullet"/>
      <w:lvlText w:val="-"/>
      <w:lvlJc w:val="left"/>
      <w:pPr>
        <w:ind w:left="1440" w:hanging="360"/>
      </w:pPr>
      <w:rPr>
        <w:rFonts w:ascii="Cairo" w:eastAsiaTheme="minorHAnsi" w:hAnsi="Cairo" w:cs="Cai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534"/>
    <w:multiLevelType w:val="hybridMultilevel"/>
    <w:tmpl w:val="349A7B1E"/>
    <w:lvl w:ilvl="0" w:tplc="3258A9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A7"/>
    <w:rsid w:val="001E0505"/>
    <w:rsid w:val="009F1DFD"/>
    <w:rsid w:val="00F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0704"/>
  <w15:chartTrackingRefBased/>
  <w15:docId w15:val="{00B2E49D-598B-42B6-BC25-92AC91C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4A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310517BA86E54AAFCEFAE13E68C5A1" ma:contentTypeVersion="10" ma:contentTypeDescription="Vytvoří nový dokument" ma:contentTypeScope="" ma:versionID="36b8f5b1cf6776b53aa3311fb345de1b">
  <xsd:schema xmlns:xsd="http://www.w3.org/2001/XMLSchema" xmlns:xs="http://www.w3.org/2001/XMLSchema" xmlns:p="http://schemas.microsoft.com/office/2006/metadata/properties" xmlns:ns3="86070141-36e0-4b89-aa46-632b57d7f413" xmlns:ns4="30713061-c717-463f-9340-803d56690eae" targetNamespace="http://schemas.microsoft.com/office/2006/metadata/properties" ma:root="true" ma:fieldsID="2c25b04da0cbb2db2ee9f56a013625b0" ns3:_="" ns4:_="">
    <xsd:import namespace="86070141-36e0-4b89-aa46-632b57d7f413"/>
    <xsd:import namespace="30713061-c717-463f-9340-803d56690e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0141-36e0-4b89-aa46-632b57d7f4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3061-c717-463f-9340-803d56690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6811C-0ACC-4FEC-8AF6-6BB18D6D4C2A}">
  <ds:schemaRefs>
    <ds:schemaRef ds:uri="30713061-c717-463f-9340-803d56690eae"/>
    <ds:schemaRef ds:uri="86070141-36e0-4b89-aa46-632b57d7f41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B606D6-F6AE-4623-879C-4CAA9886A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D48C4-BA0C-4CDD-98D1-21C75CBF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70141-36e0-4b89-aa46-632b57d7f413"/>
    <ds:schemaRef ds:uri="30713061-c717-463f-9340-803d5669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Lejsal</dc:creator>
  <cp:keywords/>
  <dc:description/>
  <cp:lastModifiedBy>matej.lejsal</cp:lastModifiedBy>
  <cp:revision>2</cp:revision>
  <dcterms:created xsi:type="dcterms:W3CDTF">2021-03-22T06:27:00Z</dcterms:created>
  <dcterms:modified xsi:type="dcterms:W3CDTF">2021-03-22T06:27:00Z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0x01010077310517BA86E54AAFCEFAE13E68C5A1</vt:lpwstr>
  </property>
</Properties>
</file>