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FCDD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  <w:t>PART 1: SCANDINAVIA</w:t>
      </w:r>
    </w:p>
    <w:p w14:paraId="1CBC78D0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Over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last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few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weeks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Oslo,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twice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;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Helsinki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twice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; Stockholm,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twice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;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Copenhagen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trips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Stockholm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limited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press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interviews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television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 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begin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instrText xml:space="preserve"> HYPERLINK "https://www.youtube.com/watch?v=_iudkPi4_sY" </w:instrText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separate"/>
      </w:r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end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other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six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trips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part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my </w:t>
      </w:r>
      <w:hyperlink r:id="rId5" w:history="1"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 xml:space="preserve">12 </w:t>
        </w:r>
        <w:proofErr w:type="spellStart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>Rules</w:t>
        </w:r>
        <w:proofErr w:type="spellEnd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>for</w:t>
        </w:r>
        <w:proofErr w:type="spellEnd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>Life</w:t>
        </w:r>
        <w:proofErr w:type="spellEnd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 xml:space="preserve"> tour</w:t>
        </w:r>
      </w:hyperlink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which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now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covered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100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cities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reason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dual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visits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?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arranged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relatively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smaller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venues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lectures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Scandinavian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towns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sold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immediately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Scandinavians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appear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particularly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interested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saying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They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radically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over-represented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among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view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my YouTube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lectures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057384D4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last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lecture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Helsinki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Finland’s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Father’s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Day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so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talked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about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masculine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virtue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In Stockholm,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concentrated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on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known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“gender paradox.”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paradox in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nutshell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: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societies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become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gender-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equal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their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political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policies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become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certain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aspects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rather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similar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extensive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but by no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means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complete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listing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papers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relevant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issue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 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begin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instrText xml:space="preserve"> HYPERLINK "https://www.youtube.com/watch?v=SEDuVF7kiPU" </w:instrText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separate"/>
      </w:r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site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my interview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with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James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Damore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end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Google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engineer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fired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possessing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accurate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knowledge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psychological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literature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).</w:t>
      </w:r>
    </w:p>
    <w:p w14:paraId="3BBB7482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Had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asked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group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scientists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–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left-wing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centrist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conservative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could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find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)–30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years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ago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Will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egalitarian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policies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wealthy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countries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produce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similar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?”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certain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bet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majority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would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said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“more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similar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.” And,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degree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happened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entered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workforce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en masse, and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participating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levels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approaching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exceeding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equality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many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domains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male majority prior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1960s. But…</w:t>
      </w:r>
    </w:p>
    <w:p w14:paraId="2171819C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major but.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seem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reached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point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diminishing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reversing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returns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Over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last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decades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so,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psychologists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aggregated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great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numbers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personality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trait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features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using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adjectives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phrases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sentences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throwing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virtually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every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descriptor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contained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human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language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mix, in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remarkably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atheoretical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manner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method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?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Describe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people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every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which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imaginable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use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large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samples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powerful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statistics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sort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resulting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mess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results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? 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begin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instrText xml:space="preserve"> HYPERLINK "https://en.wikipedia.org/wiki/Big_Five_personality_traits" </w:instrText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separate"/>
      </w:r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Something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approaching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consensus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among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psychologists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expert in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measurement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end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known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psychometricians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less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technically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as personality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psychologists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latter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happens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field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addition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clinical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psychology.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ask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thousands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people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hundreds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questions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ask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themselves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using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descriptive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adjectives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such as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kind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,”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competitive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,” “happy,”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anxious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,”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creative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,”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diligent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,”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etc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.)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powerful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statistics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identify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patterns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People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describe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themselves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as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kind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”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tend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not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consider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themselves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competitive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,”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example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but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likely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accept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cooperative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” and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caring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.”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Likewise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creative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types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might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regard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themselves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as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curious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” and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inventive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,”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while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diligent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types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also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dutiful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” and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orderly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.”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trait-like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phenomenon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also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identified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: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interest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— 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begin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instrText xml:space="preserve"> HYPERLINK "http://emilkirkegaard.dk/en/wp-content/uploads/Men-and-things-women-and-people-A-meta-analysis-of-sex-differences-in-interests.pdf" </w:instrText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separate"/>
      </w:r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interest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people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vs.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things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end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1A86041B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relatively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standard model had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established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deemed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reliable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valid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such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between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sexes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could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investigated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emerged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?</w:t>
      </w:r>
    </w:p>
    <w:p w14:paraId="22584FC2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lastRenderedPageBreak/>
        <w:t>First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similar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true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cross-culturally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most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—in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cultures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most,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along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trait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dimensions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most —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similar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However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do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exist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large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enough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play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importance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role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determining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least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affecting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important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life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outcomes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such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occupational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choice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Here’s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paper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example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indicating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gender-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equal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countries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 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begin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instrText xml:space="preserve"> HYPERLINK "https://journals.sagepub.com/doi/abs/10.1177/0956797617741719?journalCode=pssa" </w:instrText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separate"/>
      </w:r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produce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comparatively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fewer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STEM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fields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end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Here’s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another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showing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least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much-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vaunted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gender gap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which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caused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by many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factors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, 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begin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instrText xml:space="preserve"> HYPERLINK "https://www.sciencedirect.com/science/article/pii/S0191886917305962?via%3Dihub" </w:instrText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separate"/>
      </w:r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can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attributed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to male/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female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personality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end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 and not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simple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discrimination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30F8980C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largest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?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less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agreeable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competitive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harsher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tough-minded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skeptical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unsympathetic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critically-minded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independent,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stubborn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keeping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with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their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proclivity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also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documented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cross-culturally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 to manifest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higher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rates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violence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antisocial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criminal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behavior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such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incarceration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rates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vs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approximate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15:1.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higher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negative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emotion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neuroticism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They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experience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anxiety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emotional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pain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frustration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grief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self-conscious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doubt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disappointment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something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keeping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with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their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proclivity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experience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depression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twice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). These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appear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emerge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puberty.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Perhaps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consequence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smaller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size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danger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poses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conflict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Perhaps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consequence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their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sexual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vulnerability.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Perhaps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explanation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favor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because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always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taken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primary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care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infants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exceptionally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vulnerable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must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therefore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suffer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from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hyper-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vigilance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threat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4BEDE4A4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other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sex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well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but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aren’t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large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excepting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aforementioned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interest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: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comparatively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interested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things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people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largest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psychological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between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yet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identified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And these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drive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occupational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choice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particularly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extremes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Engineers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example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tend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not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interested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things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but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interested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things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people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, </w:t>
      </w:r>
      <w:proofErr w:type="spellStart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>or</w:t>
      </w:r>
      <w:proofErr w:type="spellEnd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00695115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very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important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remember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many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choices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made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extreme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not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average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not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average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aggressive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/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less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agreeable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male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prison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fact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draw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random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man and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random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from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population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bet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aggressive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/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less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agreeable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you’d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correct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about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40%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time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But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walked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roomful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people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everyone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had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selected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aggressive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person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100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almost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every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would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male.</w:t>
      </w:r>
    </w:p>
    <w:p w14:paraId="63583C83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So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though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same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matter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4B165C09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happens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look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sex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personality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interest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by country?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bigger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countries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smaller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others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?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Would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between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larger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smaller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wealthier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countries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? In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egalitarian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countries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?</w:t>
      </w:r>
    </w:p>
    <w:p w14:paraId="33D5A375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answer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: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egalitarian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wealthier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country,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 </w:t>
      </w:r>
      <w:proofErr w:type="spellStart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>larger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 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between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temperament and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interest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relationship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not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lastRenderedPageBreak/>
        <w:t>small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recent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study, 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begin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instrText xml:space="preserve"> HYPERLINK "http://science.sciencemag.org/content/362/6412/eaas9899" </w:instrText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separate"/>
      </w:r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published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in Science</w:t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end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 (by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researchers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Berkeley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hardly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hotbed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conservatism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patriarchy)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showed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relationship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between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wealth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/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egalitarian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composite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measure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sex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larger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reported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99%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published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science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studies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These are not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small-scale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studies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begin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instrText xml:space="preserve"> HYPERLINK "https://onlinelibrary.wiley.com/doi/full/10.1002/ijop.12529" </w:instrText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separate"/>
      </w:r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here’s</w:t>
      </w:r>
      <w:proofErr w:type="spellEnd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A80B6"/>
          <w:sz w:val="24"/>
          <w:szCs w:val="24"/>
          <w:u w:val="single"/>
          <w:lang w:eastAsia="cs-CZ"/>
        </w:rPr>
        <w:t>another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fldChar w:fldCharType="end"/>
      </w: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equally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recent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Tens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thousands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people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participated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And many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groups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scientists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same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conclusions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published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results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very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good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journals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25EC7F58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Given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temperament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interest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help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determine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occupational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choice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occupational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choice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drives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variability in such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things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income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follows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political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doctrines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promote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equality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opportunity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 </w:t>
      </w:r>
      <w:proofErr w:type="spellStart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>also</w:t>
      </w:r>
      <w:proofErr w:type="spellEnd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 xml:space="preserve"> drive </w:t>
      </w:r>
      <w:proofErr w:type="spellStart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>inequality</w:t>
      </w:r>
      <w:proofErr w:type="spellEnd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cs-CZ"/>
        </w:rPr>
        <w:t>outcome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7CDE2383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big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problem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—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particularly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such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egalitarian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policies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minimize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between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actually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fatal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problem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particular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political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view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facts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denied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but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throwing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science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entirety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given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entire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field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predicated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on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same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methods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used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studies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currently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discussed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 and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good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bit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biology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well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simply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not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reasonable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solution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710562E8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explanation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so far,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fact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growing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two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reasons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between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: biology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culture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minimize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cultural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do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with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egalitarian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policies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allow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biological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manifest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themselves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fully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scientists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struggle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offer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cultural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explanation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but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haven’t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heard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any such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hypothesis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least bit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credible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unable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formulate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myself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76B0441B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also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insist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upon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believing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just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haven’t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gone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far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enough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egalitarian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attempts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—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Scandinavia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Netherlands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arguably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world’s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egalitarian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societies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still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rampantly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patriarchal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— but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doesn’t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explain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sex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grown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rather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shrunk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cultures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become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demonstrably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equal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policy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6331BA51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adopt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viewpoint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despite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apparent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logical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impossibility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maintain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must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redouble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efforts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socialize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little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boys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girls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exactly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same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manner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–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rendering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toys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gender-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neutral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questioning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idea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gender identity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itself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–and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believe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such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maneuvering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will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finally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bring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ideal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utopia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every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occupation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every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strata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authority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within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every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occupation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manned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(so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speak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 by 50%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50%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should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launch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large-scale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experiments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aimed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transforming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socialization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children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no idea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outcome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might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?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should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presume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know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how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any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manner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eliminate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gender identity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among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children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?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Finally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: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exactly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problem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freed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make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choices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would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freely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make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confronted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with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egalitarian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opportunities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happen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make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choices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?</w:t>
      </w:r>
    </w:p>
    <w:p w14:paraId="05C58EAB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So,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Scandinavian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conundrum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—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also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affects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broader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Western society (and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remainder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world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enough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Policies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maximize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equality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opportunity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make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equality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outcome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increasingly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impossible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lastRenderedPageBreak/>
        <w:t>doctrine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radically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loudly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insisted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upon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politically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correct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sex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constructed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wrong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Get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?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Wrong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06FEF66A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no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wonder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bearing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news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Swedish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Foreign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Minister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(a proud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member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world’s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self-proclaimed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feminist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government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suggested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publicly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crawl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back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under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my rock,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Sweden’s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leading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female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politicians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objected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on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primetime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TV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her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daughter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could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raised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anything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wants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But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facts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facts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I’m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afraid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no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amount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neo-Marxist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leftist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postmodern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suggestion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social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science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patriarchal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construction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make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ugly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truth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disappear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:</w:t>
      </w:r>
    </w:p>
    <w:p w14:paraId="7E3FEE23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similar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But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importantly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matter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particularly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extremes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particularly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with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regard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occupational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choice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concomitants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more male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criminals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more male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engineers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females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with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diagnoses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depression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anxiety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more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female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nurses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differences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economic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outcome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associated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with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variance.</w:t>
      </w:r>
    </w:p>
    <w:p w14:paraId="759FA64E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Game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over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utopians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08BBE644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information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publicized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Scandinavia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caused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scandal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continues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reverberate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2B7D6FC8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  <w:t>PART 2: CANADA AND TRUDEAU’S CABINET</w:t>
      </w:r>
    </w:p>
    <w:p w14:paraId="06362486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noProof/>
          <w:color w:val="1E1E1E"/>
          <w:sz w:val="24"/>
          <w:szCs w:val="24"/>
          <w:lang w:eastAsia="cs-CZ"/>
        </w:rPr>
        <w:drawing>
          <wp:inline distT="0" distB="0" distL="0" distR="0" wp14:anchorId="24955667" wp14:editId="10207700">
            <wp:extent cx="3810000" cy="3225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EC7D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remember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current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Prime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Minister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Right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Honorable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Justin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Trudeau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decided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early on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formed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his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government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make his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cabinet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50%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because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“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2015.” And he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hall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pass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no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doubt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because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his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boyish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charm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modern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But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mistake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unforgivable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magnitude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reasons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:</w:t>
      </w:r>
    </w:p>
    <w:p w14:paraId="0B346003" w14:textId="77777777" w:rsidR="00F153C6" w:rsidRPr="00F153C6" w:rsidRDefault="00F153C6" w:rsidP="00F153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lastRenderedPageBreak/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job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Federal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government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important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necessary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difficult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73541C71" w14:textId="77777777" w:rsidR="00F153C6" w:rsidRPr="00F153C6" w:rsidRDefault="00F153C6" w:rsidP="00F153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To make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important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difficult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decisions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properly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competence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necessary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7CD41495" w14:textId="77777777" w:rsidR="00F153C6" w:rsidRPr="00F153C6" w:rsidRDefault="00F153C6" w:rsidP="00F153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no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relationship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between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sex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competence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are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essentially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equal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their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intelligence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differ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very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little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conscientiousness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which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second-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predictor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success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after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intelligence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Thus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selection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competence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should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optimally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sex-blind,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competence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important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factor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6F2689F1" w14:textId="77777777" w:rsidR="00F153C6" w:rsidRPr="00F153C6" w:rsidRDefault="00F153C6" w:rsidP="00F153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possibility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identifying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competent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person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increases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pool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available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candidates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increases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3486DF75" w14:textId="77777777" w:rsidR="00F153C6" w:rsidRPr="00F153C6" w:rsidRDefault="00F153C6" w:rsidP="00F153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26%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elected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MPs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Trudeau’s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government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35375D8D" w14:textId="77777777" w:rsidR="00F153C6" w:rsidRPr="00F153C6" w:rsidRDefault="00F153C6" w:rsidP="00F153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By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selecting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50%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his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cabinet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from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26%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pool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available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candidates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Prime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Minister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Trudeau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abdicated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his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responsibility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rank-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order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his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elected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officials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competence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which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could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done by blind,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multi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-person rating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their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resumes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including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education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accomplishments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staffing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his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cabinet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from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qualified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person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downward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280CC018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Given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only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26%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elected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MPs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selection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half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cabinet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from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pool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means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statistical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certainty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cabinet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members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chosen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not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competent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available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0C321258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noProof/>
          <w:color w:val="1E1E1E"/>
          <w:sz w:val="24"/>
          <w:szCs w:val="24"/>
          <w:lang w:eastAsia="cs-CZ"/>
        </w:rPr>
        <w:drawing>
          <wp:inline distT="0" distB="0" distL="0" distR="0" wp14:anchorId="4881FCB6" wp14:editId="3DC8B76C">
            <wp:extent cx="3810000" cy="2082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6613A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It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might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also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pointed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such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move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particularly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appalling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given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source.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Let’s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assume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which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don’t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“patriarchy,”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with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generally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undeserved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privilege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Let’s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assume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which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don’t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much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accrued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unfairly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straight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white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identity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politics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players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such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Prime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Minister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self-righteously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vociferously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insist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41FCF52B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truly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unreasonable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therefore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to point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absolute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poster boy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such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privilege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none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other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Prime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Minister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Justin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Trudeau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—a man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dared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run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highest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office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land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despite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his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utter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lack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credentials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(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other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good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looks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charm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certain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ability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behave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properly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public)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merely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because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his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father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Pierre,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turned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Trudeau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name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into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very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epitome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status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unearned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by his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?</w:t>
      </w:r>
    </w:p>
    <w:p w14:paraId="20563948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also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unreasonable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point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who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accepted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those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positions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granted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unfairly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in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prejudiced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discriminatory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manner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took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as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their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due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despite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unlikelihood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statistically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their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suitability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positions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lastRenderedPageBreak/>
        <w:t>question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thus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betrayed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themselves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everywhere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striving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fairly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advancement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authority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their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country?</w:t>
      </w:r>
    </w:p>
    <w:p w14:paraId="26E03DA6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All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name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redress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some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hypothetical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prejudice,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consequence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patriarchal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tyranny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experienced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in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large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measure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vaguely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apprehended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women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past and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definitely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other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than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themselves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03A9CF84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Appalling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All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Appalling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248AB600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Here’s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 </w:t>
      </w:r>
      <w:hyperlink r:id="rId8" w:history="1"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 xml:space="preserve">full list </w:t>
        </w:r>
        <w:proofErr w:type="spellStart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>of</w:t>
        </w:r>
        <w:proofErr w:type="spellEnd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>the</w:t>
        </w:r>
        <w:proofErr w:type="spellEnd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>cabinet</w:t>
        </w:r>
        <w:proofErr w:type="spellEnd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>members</w:t>
        </w:r>
        <w:proofErr w:type="spellEnd"/>
      </w:hyperlink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, in case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want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to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contact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let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them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know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what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you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think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.</w:t>
      </w:r>
    </w:p>
    <w:p w14:paraId="7874D691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Here’s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list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most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dangerous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jobs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by fatality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rate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and sex (</w:t>
      </w:r>
      <w:hyperlink r:id="rId9" w:history="1">
        <w:r w:rsidRPr="00F153C6">
          <w:rPr>
            <w:rFonts w:ascii="Arial" w:eastAsia="Times New Roman" w:hAnsi="Arial" w:cs="Arial"/>
            <w:color w:val="1A80B6"/>
            <w:sz w:val="24"/>
            <w:szCs w:val="24"/>
            <w:u w:val="single"/>
            <w:lang w:eastAsia="cs-CZ"/>
          </w:rPr>
          <w:t>source</w:t>
        </w:r>
      </w:hyperlink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).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Why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isn’t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this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a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focus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of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gender-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inequality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 xml:space="preserve"> </w:t>
      </w:r>
      <w:proofErr w:type="spellStart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outrage</w:t>
      </w:r>
      <w:proofErr w:type="spellEnd"/>
      <w:r w:rsidRPr="00F153C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?</w:t>
      </w:r>
    </w:p>
    <w:p w14:paraId="35587E33" w14:textId="77777777" w:rsidR="00F153C6" w:rsidRPr="00F153C6" w:rsidRDefault="00F153C6" w:rsidP="00F153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1E1E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noProof/>
          <w:color w:val="1E1E1E"/>
          <w:sz w:val="24"/>
          <w:szCs w:val="24"/>
          <w:lang w:eastAsia="cs-CZ"/>
        </w:rPr>
        <w:drawing>
          <wp:inline distT="0" distB="0" distL="0" distR="0" wp14:anchorId="583173E3" wp14:editId="7C37BA81">
            <wp:extent cx="4533900" cy="3962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E3861" w14:textId="77777777" w:rsidR="00F153C6" w:rsidRPr="00F153C6" w:rsidRDefault="00F153C6" w:rsidP="00F153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153C6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33F5B083" w14:textId="09FB2539" w:rsidR="00F153C6" w:rsidRDefault="00F153C6" w:rsidP="00F153C6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153C6">
        <w:rPr>
          <w:rFonts w:ascii="Arial" w:eastAsia="Times New Roman" w:hAnsi="Arial" w:cs="Arial"/>
          <w:sz w:val="24"/>
          <w:szCs w:val="24"/>
          <w:lang w:eastAsia="cs-CZ"/>
        </w:rPr>
        <w:t xml:space="preserve">Jordan </w:t>
      </w:r>
      <w:proofErr w:type="spellStart"/>
      <w:r w:rsidRPr="00F153C6">
        <w:rPr>
          <w:rFonts w:ascii="Arial" w:eastAsia="Times New Roman" w:hAnsi="Arial" w:cs="Arial"/>
          <w:sz w:val="24"/>
          <w:szCs w:val="24"/>
          <w:lang w:eastAsia="cs-CZ"/>
        </w:rPr>
        <w:t>Peterson</w:t>
      </w:r>
      <w:proofErr w:type="spellEnd"/>
      <w:r w:rsidRPr="00F153C6">
        <w:rPr>
          <w:rFonts w:ascii="Arial" w:eastAsia="Times New Roman" w:hAnsi="Arial" w:cs="Arial"/>
          <w:sz w:val="24"/>
          <w:szCs w:val="24"/>
          <w:lang w:eastAsia="cs-CZ"/>
        </w:rPr>
        <w:t xml:space="preserve"> Mailing List </w:t>
      </w:r>
      <w:proofErr w:type="spellStart"/>
      <w:r w:rsidRPr="00F153C6">
        <w:rPr>
          <w:rFonts w:ascii="Arial" w:eastAsia="Times New Roman" w:hAnsi="Arial" w:cs="Arial"/>
          <w:sz w:val="24"/>
          <w:szCs w:val="24"/>
          <w:lang w:eastAsia="cs-CZ"/>
        </w:rPr>
        <w:t>Signup</w:t>
      </w:r>
      <w:proofErr w:type="spellEnd"/>
      <w:r w:rsidRPr="00F153C6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2CFA513" w14:textId="72FC7832" w:rsidR="001477B2" w:rsidRDefault="001477B2" w:rsidP="00F153C6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9C10DA" w14:textId="03CB4F99" w:rsidR="001477B2" w:rsidRPr="00F153C6" w:rsidRDefault="001477B2" w:rsidP="00F153C6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Zdroj: </w:t>
      </w:r>
      <w:hyperlink r:id="rId11" w:history="1">
        <w:r w:rsidRPr="00DC143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https://www.jordanbpeterson.com/political-correctness/the-gender-scandal-part-one-scandinavia-and-part-two-canada/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381722B" w14:textId="77777777" w:rsidR="00F153C6" w:rsidRPr="00F153C6" w:rsidRDefault="00F153C6" w:rsidP="00F153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153C6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4805E0FE" w14:textId="77777777" w:rsidR="00532105" w:rsidRDefault="00532105"/>
    <w:sectPr w:rsidR="0053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D21D6"/>
    <w:multiLevelType w:val="multilevel"/>
    <w:tmpl w:val="7544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C6"/>
    <w:rsid w:val="001477B2"/>
    <w:rsid w:val="00532105"/>
    <w:rsid w:val="00F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F8EA"/>
  <w15:chartTrackingRefBased/>
  <w15:docId w15:val="{B6D61422-DD82-43EA-AE34-B02FBECB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53C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153C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153C6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153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153C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153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153C6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47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c.ca/news/politics/full-list-of-justin-trudeau-s-cabinet-1.33006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jordanbpeterson.com/political-correctness/the-gender-scandal-part-one-scandinavia-and-part-two-canada/" TargetMode="External"/><Relationship Id="rId5" Type="http://schemas.openxmlformats.org/officeDocument/2006/relationships/hyperlink" Target="https://www.jordanbpeterson.com/events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bls.gov/iif/oshcfoi1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2295</Words>
  <Characters>13544</Characters>
  <Application>Microsoft Office Word</Application>
  <DocSecurity>0</DocSecurity>
  <Lines>112</Lines>
  <Paragraphs>31</Paragraphs>
  <ScaleCrop>false</ScaleCrop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Plíčková</dc:creator>
  <cp:keywords/>
  <dc:description/>
  <cp:lastModifiedBy>Olga Plíčková</cp:lastModifiedBy>
  <cp:revision>2</cp:revision>
  <dcterms:created xsi:type="dcterms:W3CDTF">2020-04-16T10:11:00Z</dcterms:created>
  <dcterms:modified xsi:type="dcterms:W3CDTF">2021-01-17T17:44:00Z</dcterms:modified>
</cp:coreProperties>
</file>