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4985" w14:textId="77777777" w:rsidR="000D4E5C" w:rsidRDefault="000D4E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485"/>
        <w:gridCol w:w="567"/>
        <w:gridCol w:w="1768"/>
        <w:gridCol w:w="1351"/>
        <w:gridCol w:w="992"/>
      </w:tblGrid>
      <w:tr w:rsidR="000D4E5C" w14:paraId="4822BAED" w14:textId="77777777">
        <w:trPr>
          <w:trHeight w:val="397"/>
        </w:trPr>
        <w:tc>
          <w:tcPr>
            <w:tcW w:w="9993" w:type="dxa"/>
            <w:gridSpan w:val="6"/>
            <w:tcBorders>
              <w:bottom w:val="single" w:sz="4" w:space="0" w:color="000000"/>
            </w:tcBorders>
            <w:shd w:val="clear" w:color="auto" w:fill="BDD6EE"/>
            <w:vAlign w:val="center"/>
          </w:tcPr>
          <w:p w14:paraId="7F96680D" w14:textId="77777777" w:rsidR="000D4E5C" w:rsidRPr="00D16D05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B-III – Charakteristika studijního předmětu</w:t>
            </w:r>
          </w:p>
        </w:tc>
      </w:tr>
      <w:tr w:rsidR="000D4E5C" w14:paraId="0D565522" w14:textId="77777777" w:rsidTr="00D16D05">
        <w:trPr>
          <w:trHeight w:val="454"/>
        </w:trPr>
        <w:tc>
          <w:tcPr>
            <w:tcW w:w="2830" w:type="dxa"/>
            <w:tcBorders>
              <w:top w:val="single" w:sz="4" w:space="0" w:color="000000"/>
              <w:bottom w:val="nil"/>
            </w:tcBorders>
            <w:shd w:val="clear" w:color="auto" w:fill="FDE9D9"/>
            <w:vAlign w:val="center"/>
          </w:tcPr>
          <w:p w14:paraId="7769E7D7" w14:textId="77777777" w:rsidR="000D4E5C" w:rsidRPr="00D16D05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 studijního předmětu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bottom w:val="nil"/>
            </w:tcBorders>
            <w:vAlign w:val="center"/>
          </w:tcPr>
          <w:p w14:paraId="34F029D4" w14:textId="77777777" w:rsidR="000D4E5C" w:rsidRPr="00D16D05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D05">
              <w:rPr>
                <w:rFonts w:ascii="Times New Roman" w:eastAsia="Times New Roman" w:hAnsi="Times New Roman" w:cs="Times New Roman"/>
                <w:sz w:val="24"/>
                <w:szCs w:val="24"/>
              </w:rPr>
              <w:t>Meziorganizační</w:t>
            </w:r>
            <w:proofErr w:type="spellEnd"/>
            <w:r w:rsidRPr="00D1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vyjednávání v dlouhodobé péči</w:t>
            </w:r>
          </w:p>
          <w:p w14:paraId="7C817444" w14:textId="77777777" w:rsidR="000D4E5C" w:rsidRPr="00D16D05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D05">
              <w:rPr>
                <w:rFonts w:ascii="Times New Roman" w:eastAsia="Times New Roman" w:hAnsi="Times New Roman" w:cs="Times New Roman"/>
                <w:sz w:val="24"/>
                <w:szCs w:val="24"/>
              </w:rPr>
              <w:t>Interagency</w:t>
            </w:r>
            <w:proofErr w:type="spellEnd"/>
            <w:r w:rsidRPr="00D1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D05">
              <w:rPr>
                <w:rFonts w:ascii="Times New Roman" w:eastAsia="Times New Roman" w:hAnsi="Times New Roman" w:cs="Times New Roman"/>
                <w:sz w:val="24"/>
                <w:szCs w:val="24"/>
              </w:rPr>
              <w:t>Negotiation</w:t>
            </w:r>
            <w:proofErr w:type="spellEnd"/>
            <w:r w:rsidRPr="00D1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D16D0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Long-Term Care (angl.)</w:t>
            </w:r>
          </w:p>
        </w:tc>
      </w:tr>
      <w:tr w:rsidR="000D4E5C" w14:paraId="20C7673F" w14:textId="77777777" w:rsidTr="00D16D05">
        <w:trPr>
          <w:trHeight w:val="20"/>
        </w:trPr>
        <w:tc>
          <w:tcPr>
            <w:tcW w:w="2830" w:type="dxa"/>
            <w:tcBorders>
              <w:top w:val="nil"/>
            </w:tcBorders>
            <w:shd w:val="clear" w:color="auto" w:fill="FDE9D9"/>
            <w:vAlign w:val="center"/>
          </w:tcPr>
          <w:p w14:paraId="440CB9B7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Typ předmětu </w:t>
            </w:r>
          </w:p>
        </w:tc>
        <w:tc>
          <w:tcPr>
            <w:tcW w:w="4820" w:type="dxa"/>
            <w:gridSpan w:val="3"/>
            <w:tcBorders>
              <w:top w:val="nil"/>
            </w:tcBorders>
          </w:tcPr>
          <w:p w14:paraId="373D7C72" w14:textId="77777777" w:rsidR="000D4E5C" w:rsidRDefault="00D16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Volitelný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FDE9D9"/>
            <w:vAlign w:val="center"/>
          </w:tcPr>
          <w:p w14:paraId="4CDBE885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doporučený ročník / semestr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B741E9E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Oba ročníky</w:t>
            </w:r>
          </w:p>
        </w:tc>
      </w:tr>
      <w:tr w:rsidR="000D4E5C" w14:paraId="039BEC91" w14:textId="77777777">
        <w:trPr>
          <w:trHeight w:val="454"/>
        </w:trPr>
        <w:tc>
          <w:tcPr>
            <w:tcW w:w="2830" w:type="dxa"/>
            <w:shd w:val="clear" w:color="auto" w:fill="FDE9D9"/>
            <w:vAlign w:val="center"/>
          </w:tcPr>
          <w:p w14:paraId="1CD0992E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Rozsah studijního předmětu</w:t>
            </w:r>
          </w:p>
        </w:tc>
        <w:tc>
          <w:tcPr>
            <w:tcW w:w="2485" w:type="dxa"/>
            <w:vAlign w:val="center"/>
          </w:tcPr>
          <w:p w14:paraId="09914385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Kapacita 16 účastníků</w:t>
            </w:r>
          </w:p>
        </w:tc>
        <w:tc>
          <w:tcPr>
            <w:tcW w:w="567" w:type="dxa"/>
            <w:shd w:val="clear" w:color="auto" w:fill="FDE9D9"/>
            <w:vAlign w:val="center"/>
          </w:tcPr>
          <w:p w14:paraId="24D7F592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hod. </w:t>
            </w:r>
          </w:p>
        </w:tc>
        <w:tc>
          <w:tcPr>
            <w:tcW w:w="1768" w:type="dxa"/>
            <w:vAlign w:val="center"/>
          </w:tcPr>
          <w:p w14:paraId="0BF4BAFC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351" w:type="dxa"/>
            <w:shd w:val="clear" w:color="auto" w:fill="FDE9D9"/>
            <w:vAlign w:val="center"/>
          </w:tcPr>
          <w:p w14:paraId="46B5F9F6" w14:textId="77777777" w:rsidR="000D4E5C" w:rsidRDefault="00D16D05">
            <w:pPr>
              <w:shd w:val="clear" w:color="auto" w:fill="FDE9D9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kreditů</w:t>
            </w:r>
          </w:p>
        </w:tc>
        <w:tc>
          <w:tcPr>
            <w:tcW w:w="992" w:type="dxa"/>
            <w:vAlign w:val="center"/>
          </w:tcPr>
          <w:p w14:paraId="4E4336D8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0FCF1FF7" w14:textId="77777777" w:rsidR="000D4E5C" w:rsidRDefault="000D4E5C">
      <w:pPr>
        <w:spacing w:after="0"/>
        <w:ind w:left="708"/>
        <w:rPr>
          <w:rFonts w:ascii="Times New Roman" w:eastAsia="Times New Roman" w:hAnsi="Times New Roman" w:cs="Times New Roman"/>
          <w:b/>
          <w:sz w:val="22"/>
          <w:szCs w:val="22"/>
          <w:shd w:val="clear" w:color="auto" w:fill="D9D9D9"/>
        </w:rPr>
      </w:pPr>
    </w:p>
    <w:tbl>
      <w:tblPr>
        <w:tblStyle w:val="a0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208"/>
        <w:gridCol w:w="784"/>
        <w:gridCol w:w="1702"/>
        <w:gridCol w:w="1418"/>
        <w:gridCol w:w="2126"/>
        <w:gridCol w:w="1136"/>
      </w:tblGrid>
      <w:tr w:rsidR="000D4E5C" w14:paraId="4FC1EAC9" w14:textId="77777777">
        <w:trPr>
          <w:trHeight w:val="454"/>
        </w:trPr>
        <w:tc>
          <w:tcPr>
            <w:tcW w:w="2830" w:type="dxa"/>
            <w:gridSpan w:val="2"/>
            <w:shd w:val="clear" w:color="auto" w:fill="FDE9D9"/>
            <w:vAlign w:val="center"/>
          </w:tcPr>
          <w:p w14:paraId="1809FD6E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Dvousemestrální předmět</w:t>
            </w:r>
          </w:p>
        </w:tc>
        <w:tc>
          <w:tcPr>
            <w:tcW w:w="7166" w:type="dxa"/>
            <w:gridSpan w:val="5"/>
            <w:shd w:val="clear" w:color="auto" w:fill="auto"/>
            <w:vAlign w:val="center"/>
          </w:tcPr>
          <w:p w14:paraId="524C2F5D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2F2F2"/>
              </w:rPr>
              <w:t>ne</w:t>
            </w:r>
          </w:p>
        </w:tc>
      </w:tr>
      <w:tr w:rsidR="000D4E5C" w14:paraId="1A1A1A73" w14:textId="77777777">
        <w:tc>
          <w:tcPr>
            <w:tcW w:w="2830" w:type="dxa"/>
            <w:gridSpan w:val="2"/>
            <w:shd w:val="clear" w:color="auto" w:fill="D9D9D9"/>
            <w:vAlign w:val="center"/>
          </w:tcPr>
          <w:p w14:paraId="5D58FF5A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Prerekvizity,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korekvizity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ekvivalence</w:t>
            </w:r>
          </w:p>
        </w:tc>
        <w:tc>
          <w:tcPr>
            <w:tcW w:w="7166" w:type="dxa"/>
            <w:gridSpan w:val="5"/>
            <w:vAlign w:val="center"/>
          </w:tcPr>
          <w:p w14:paraId="3A4913D6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Systémy zdravotních a sociálních služeb (FHS UK)</w:t>
            </w:r>
          </w:p>
          <w:p w14:paraId="208AC10D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Veřejné zdravotnictví, právo (LF3)</w:t>
            </w:r>
          </w:p>
          <w:p w14:paraId="061CCE11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Legislativa a veřejné zdravotnictví (LF3)</w:t>
            </w:r>
          </w:p>
        </w:tc>
      </w:tr>
      <w:tr w:rsidR="000D4E5C" w14:paraId="55C1C883" w14:textId="77777777">
        <w:trPr>
          <w:trHeight w:val="624"/>
        </w:trPr>
        <w:tc>
          <w:tcPr>
            <w:tcW w:w="2830" w:type="dxa"/>
            <w:gridSpan w:val="2"/>
            <w:shd w:val="clear" w:color="auto" w:fill="FDE9D9"/>
            <w:vAlign w:val="center"/>
          </w:tcPr>
          <w:p w14:paraId="7675710F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Způsob ověření studijních výsledků</w:t>
            </w:r>
          </w:p>
        </w:tc>
        <w:tc>
          <w:tcPr>
            <w:tcW w:w="2486" w:type="dxa"/>
            <w:gridSpan w:val="2"/>
            <w:tcBorders>
              <w:bottom w:val="single" w:sz="4" w:space="0" w:color="000000"/>
            </w:tcBorders>
            <w:vAlign w:val="center"/>
          </w:tcPr>
          <w:p w14:paraId="127F5100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Seminární práce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39532CEA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Forma výuky</w:t>
            </w: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  <w:vAlign w:val="center"/>
          </w:tcPr>
          <w:p w14:paraId="46EEE486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Prezenční</w:t>
            </w:r>
          </w:p>
        </w:tc>
      </w:tr>
      <w:tr w:rsidR="000D4E5C" w14:paraId="7A66006A" w14:textId="77777777">
        <w:tc>
          <w:tcPr>
            <w:tcW w:w="2830" w:type="dxa"/>
            <w:gridSpan w:val="2"/>
            <w:shd w:val="clear" w:color="auto" w:fill="D9D9D9"/>
            <w:vAlign w:val="center"/>
          </w:tcPr>
          <w:p w14:paraId="06362FA5" w14:textId="77777777" w:rsidR="000D4E5C" w:rsidRDefault="00D16D05">
            <w:pPr>
              <w:shd w:val="clear" w:color="auto" w:fill="D9D9D9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Forma způsobu ověření studijních výsledků</w:t>
            </w:r>
          </w:p>
        </w:tc>
        <w:tc>
          <w:tcPr>
            <w:tcW w:w="7166" w:type="dxa"/>
            <w:gridSpan w:val="5"/>
            <w:tcBorders>
              <w:bottom w:val="single" w:sz="4" w:space="0" w:color="000000"/>
            </w:tcBorders>
            <w:vAlign w:val="center"/>
          </w:tcPr>
          <w:p w14:paraId="67CE8F8D" w14:textId="77777777" w:rsidR="000D4E5C" w:rsidRDefault="00D16D05">
            <w:pPr>
              <w:spacing w:after="8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Písemná</w:t>
            </w:r>
          </w:p>
        </w:tc>
      </w:tr>
      <w:tr w:rsidR="000D4E5C" w14:paraId="7B630375" w14:textId="77777777">
        <w:trPr>
          <w:trHeight w:val="510"/>
        </w:trPr>
        <w:tc>
          <w:tcPr>
            <w:tcW w:w="2830" w:type="dxa"/>
            <w:gridSpan w:val="2"/>
            <w:tcBorders>
              <w:top w:val="nil"/>
            </w:tcBorders>
            <w:shd w:val="clear" w:color="auto" w:fill="FDE9D9"/>
            <w:vAlign w:val="center"/>
          </w:tcPr>
          <w:p w14:paraId="362AEDCD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Další požadavky na studenta</w:t>
            </w:r>
          </w:p>
        </w:tc>
        <w:tc>
          <w:tcPr>
            <w:tcW w:w="7166" w:type="dxa"/>
            <w:gridSpan w:val="5"/>
            <w:tcBorders>
              <w:top w:val="nil"/>
            </w:tcBorders>
            <w:shd w:val="clear" w:color="auto" w:fill="FFFFFF"/>
          </w:tcPr>
          <w:p w14:paraId="27F19EBA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Účast na 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fokusních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skupinách před a po konání volitelného předmětu, příprava mapy systémů a návrhu nástrojů, prezentace výsledků</w:t>
            </w:r>
          </w:p>
        </w:tc>
      </w:tr>
      <w:tr w:rsidR="000D4E5C" w14:paraId="3103E4E4" w14:textId="77777777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088A10F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Garant předmětu (ev. vyučující zodpovědný za předmět)</w:t>
            </w:r>
          </w:p>
        </w:tc>
        <w:tc>
          <w:tcPr>
            <w:tcW w:w="716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97722D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Ing. Mgr. Matěj Lejsal</w:t>
            </w:r>
          </w:p>
        </w:tc>
      </w:tr>
      <w:tr w:rsidR="000D4E5C" w14:paraId="70F84767" w14:textId="77777777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7D70CFAC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Zapojení garanta do výuky předmětu   </w:t>
            </w:r>
          </w:p>
        </w:tc>
        <w:tc>
          <w:tcPr>
            <w:tcW w:w="7166" w:type="dxa"/>
            <w:gridSpan w:val="5"/>
            <w:tcBorders>
              <w:top w:val="single" w:sz="4" w:space="0" w:color="000000"/>
            </w:tcBorders>
          </w:tcPr>
          <w:p w14:paraId="6BDBF94F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0D4E5C" w14:paraId="121EACC9" w14:textId="77777777">
        <w:trPr>
          <w:trHeight w:val="271"/>
        </w:trPr>
        <w:tc>
          <w:tcPr>
            <w:tcW w:w="283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FD8366C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Vyučující</w:t>
            </w:r>
          </w:p>
        </w:tc>
        <w:tc>
          <w:tcPr>
            <w:tcW w:w="7166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24ACBEC1" w14:textId="77777777" w:rsidR="000D4E5C" w:rsidRDefault="00D16D0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Ing. Mgr. Matěj Lejsal, Mgr. Martina Tesařová, Mgr. Petr Vrzáček, MUDr. Ing. Adam Žaludek, MBA, LL.M</w:t>
            </w:r>
          </w:p>
        </w:tc>
      </w:tr>
      <w:tr w:rsidR="000D4E5C" w14:paraId="19CBD76B" w14:textId="77777777">
        <w:trPr>
          <w:trHeight w:val="454"/>
        </w:trPr>
        <w:tc>
          <w:tcPr>
            <w:tcW w:w="2830" w:type="dxa"/>
            <w:gridSpan w:val="2"/>
            <w:shd w:val="clear" w:color="auto" w:fill="FDE9D9"/>
            <w:vAlign w:val="center"/>
          </w:tcPr>
          <w:p w14:paraId="3DD7571D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Stručná anotace předmětu</w:t>
            </w:r>
          </w:p>
        </w:tc>
        <w:tc>
          <w:tcPr>
            <w:tcW w:w="7166" w:type="dxa"/>
            <w:gridSpan w:val="5"/>
            <w:tcBorders>
              <w:bottom w:val="nil"/>
            </w:tcBorders>
          </w:tcPr>
          <w:p w14:paraId="0935C0F1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Cílem předmětu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 rozvoj kompetencí odborníků sociálních a zdravotnických oborů ve vyjednávání pro dosažení co nejvyšší kvality života osob s komplexními potřebami. Aplikačním prostředím je oblast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meziorganizační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mezioborové spolupráce v dlouhodobé péče o seniory. V průb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ěhu předmětu si studenti osvojí:</w:t>
            </w:r>
          </w:p>
          <w:p w14:paraId="6E378303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techniky k účinnému mezioborovému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meziorganizačnímu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vyjednávání, </w:t>
            </w:r>
          </w:p>
          <w:p w14:paraId="62AA0366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základy technik k mapování systémů na příkladu managementu transferů klientů pobytových sociálních služeb o seniory,</w:t>
            </w:r>
          </w:p>
          <w:p w14:paraId="2F513CE4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tvorbu nástrojů za využití prvků 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etodiky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human-centered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design,</w:t>
            </w:r>
          </w:p>
          <w:p w14:paraId="5A99D2B0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schopnost dosažení účinného řešení problémů</w:t>
            </w:r>
          </w:p>
          <w:p w14:paraId="5A349E4D" w14:textId="77777777" w:rsidR="000D4E5C" w:rsidRDefault="000D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FA9CD2F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Předmět je určen studentům prvních a druhých ročníků magisterského studia sociálních a zdravotních oborů.</w:t>
            </w:r>
          </w:p>
          <w:p w14:paraId="20315C6B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Studenti nemusí mít zkušenosti z oblasti dlouhodobé péče o seniory.</w:t>
            </w:r>
          </w:p>
          <w:p w14:paraId="20B32E45" w14:textId="77777777" w:rsidR="000D4E5C" w:rsidRDefault="000D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502C5CA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—---</w:t>
            </w:r>
          </w:p>
          <w:p w14:paraId="266A9D1E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aim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develop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competencies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negotiation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professionals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services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maximize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quality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life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people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complex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needs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environment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interagency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transd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isciplinary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cooperation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long-term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elderly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people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631A4D5B" w14:textId="77777777" w:rsidR="000D4E5C" w:rsidRDefault="000D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168483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learn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11E65103" w14:textId="77777777" w:rsidR="000D4E5C" w:rsidRDefault="00D16D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techniques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effective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transdisciplinary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interagency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negotiation</w:t>
            </w:r>
            <w:proofErr w:type="spellEnd"/>
          </w:p>
          <w:p w14:paraId="4BBE9524" w14:textId="77777777" w:rsidR="000D4E5C" w:rsidRDefault="00D16D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basic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techniques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mapping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application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environment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transfers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residents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residential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facilities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to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hospitals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96C67A2" w14:textId="77777777" w:rsidR="000D4E5C" w:rsidRDefault="00D16D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tools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using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elements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human-centered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design</w:t>
            </w:r>
          </w:p>
          <w:p w14:paraId="7ED09EB8" w14:textId="77777777" w:rsidR="000D4E5C" w:rsidRDefault="00D16D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ability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solving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effective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manner</w:t>
            </w:r>
            <w:proofErr w:type="spellEnd"/>
          </w:p>
          <w:p w14:paraId="2465F620" w14:textId="77777777" w:rsidR="000D4E5C" w:rsidRDefault="000D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9FF812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open to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second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master's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degre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care.</w:t>
            </w:r>
          </w:p>
          <w:p w14:paraId="71FCD18F" w14:textId="77777777" w:rsidR="000D4E5C" w:rsidRDefault="000D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B004114" w14:textId="77777777" w:rsidR="000D4E5C" w:rsidRDefault="00D1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don't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field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long-term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elderly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people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23CD65EC" w14:textId="77777777" w:rsidR="000D4E5C" w:rsidRDefault="000D4E5C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0D4E5C" w14:paraId="6152F654" w14:textId="77777777">
        <w:trPr>
          <w:trHeight w:val="567"/>
        </w:trPr>
        <w:tc>
          <w:tcPr>
            <w:tcW w:w="9996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3C13DEB1" w14:textId="77777777" w:rsidR="000D4E5C" w:rsidRDefault="000D4E5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4E5C" w14:paraId="215E5F86" w14:textId="77777777">
        <w:trPr>
          <w:trHeight w:val="454"/>
        </w:trPr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6C0E00A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Studijní literatura 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bottom w:val="nil"/>
            </w:tcBorders>
            <w:vAlign w:val="center"/>
          </w:tcPr>
          <w:p w14:paraId="705FAC35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http://moodle.fhs.cuni.cz/course/index.php?categoryid=33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D4E5C" w14:paraId="13ECCEF3" w14:textId="77777777">
        <w:trPr>
          <w:trHeight w:val="170"/>
        </w:trPr>
        <w:tc>
          <w:tcPr>
            <w:tcW w:w="9996" w:type="dxa"/>
            <w:gridSpan w:val="7"/>
            <w:tcBorders>
              <w:top w:val="nil"/>
              <w:bottom w:val="single" w:sz="4" w:space="0" w:color="000000"/>
            </w:tcBorders>
          </w:tcPr>
          <w:p w14:paraId="3C834B4E" w14:textId="77777777" w:rsidR="000D4E5C" w:rsidRDefault="000D4E5C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D4E5C" w14:paraId="700593C9" w14:textId="77777777">
        <w:trPr>
          <w:trHeight w:val="397"/>
        </w:trPr>
        <w:tc>
          <w:tcPr>
            <w:tcW w:w="9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ECBEB0F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Informace ke kombinované nebo distanční formě</w:t>
            </w:r>
          </w:p>
        </w:tc>
      </w:tr>
      <w:tr w:rsidR="000D4E5C" w14:paraId="5BE513D4" w14:textId="77777777">
        <w:trPr>
          <w:trHeight w:val="567"/>
        </w:trPr>
        <w:tc>
          <w:tcPr>
            <w:tcW w:w="3614" w:type="dxa"/>
            <w:gridSpan w:val="3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2103713E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Rozsah konzultací (soustředění) 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</w:tcBorders>
          </w:tcPr>
          <w:p w14:paraId="1C1C2EAB" w14:textId="77777777" w:rsidR="000D4E5C" w:rsidRDefault="00D16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Dle potřeby (6)</w:t>
            </w:r>
          </w:p>
        </w:tc>
        <w:tc>
          <w:tcPr>
            <w:tcW w:w="1136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0037131E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DE9D9"/>
              </w:rPr>
              <w:t>hodi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n </w:t>
            </w:r>
          </w:p>
        </w:tc>
      </w:tr>
      <w:tr w:rsidR="000D4E5C" w14:paraId="484A2CA0" w14:textId="77777777">
        <w:trPr>
          <w:trHeight w:val="340"/>
        </w:trPr>
        <w:tc>
          <w:tcPr>
            <w:tcW w:w="9996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36931D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D9D9D9"/>
              </w:rPr>
              <w:t>Informace o způsobu kontaktu s vyučujícím</w:t>
            </w:r>
          </w:p>
          <w:p w14:paraId="0EB6CBBB" w14:textId="77777777" w:rsidR="000D4E5C" w:rsidRDefault="000D4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D9D9D9"/>
              </w:rPr>
            </w:pPr>
          </w:p>
          <w:p w14:paraId="15B272B8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D9D9D9"/>
              </w:rPr>
              <w:t>Primárně e-mailem</w:t>
            </w:r>
          </w:p>
          <w:p w14:paraId="79E7AFA4" w14:textId="77777777" w:rsidR="000D4E5C" w:rsidRDefault="000D4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D4E5C" w14:paraId="475DCB3F" w14:textId="77777777">
        <w:trPr>
          <w:trHeight w:val="340"/>
        </w:trPr>
        <w:tc>
          <w:tcPr>
            <w:tcW w:w="9996" w:type="dxa"/>
            <w:gridSpan w:val="7"/>
            <w:shd w:val="clear" w:color="auto" w:fill="FDE9D9"/>
            <w:vAlign w:val="center"/>
          </w:tcPr>
          <w:p w14:paraId="609ECE50" w14:textId="77777777" w:rsidR="000D4E5C" w:rsidRDefault="00D16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Vzory studijních distančních textů a multimediálních pomůcek</w:t>
            </w:r>
          </w:p>
        </w:tc>
      </w:tr>
      <w:tr w:rsidR="000D4E5C" w14:paraId="7FC65EF6" w14:textId="77777777">
        <w:trPr>
          <w:trHeight w:val="907"/>
        </w:trPr>
        <w:tc>
          <w:tcPr>
            <w:tcW w:w="9996" w:type="dxa"/>
            <w:gridSpan w:val="7"/>
          </w:tcPr>
          <w:p w14:paraId="744B1736" w14:textId="77777777" w:rsidR="000D4E5C" w:rsidRDefault="000D4E5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835F661" w14:textId="77777777" w:rsidR="000D4E5C" w:rsidRDefault="000D4E5C"/>
    <w:sectPr w:rsidR="000D4E5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D1922"/>
    <w:multiLevelType w:val="multilevel"/>
    <w:tmpl w:val="A7DC26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5C"/>
    <w:rsid w:val="000D4E5C"/>
    <w:rsid w:val="00D1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37B2"/>
  <w15:docId w15:val="{56F2D13B-05B3-432B-9C50-32D30689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34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poznpodarou">
    <w:name w:val="footnote text"/>
    <w:basedOn w:val="Normln"/>
    <w:link w:val="TextpoznpodarouChar"/>
    <w:semiHidden/>
    <w:rsid w:val="006A3534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6A3534"/>
    <w:rPr>
      <w:rFonts w:eastAsiaTheme="minorEastAsia"/>
      <w:sz w:val="20"/>
      <w:szCs w:val="20"/>
      <w:lang w:eastAsia="cs-CZ"/>
    </w:rPr>
  </w:style>
  <w:style w:type="paragraph" w:styleId="Bezmezer">
    <w:name w:val="No Spacing"/>
    <w:uiPriority w:val="1"/>
    <w:qFormat/>
    <w:rsid w:val="006A3534"/>
    <w:pPr>
      <w:spacing w:after="0" w:line="240" w:lineRule="auto"/>
    </w:pPr>
    <w:rPr>
      <w:rFonts w:eastAsiaTheme="minorEastAsia"/>
    </w:rPr>
  </w:style>
  <w:style w:type="character" w:customStyle="1" w:styleId="normaltextrun">
    <w:name w:val="normaltextrun"/>
    <w:basedOn w:val="Standardnpsmoodstavce"/>
    <w:rsid w:val="004C6C22"/>
  </w:style>
  <w:style w:type="character" w:customStyle="1" w:styleId="eop">
    <w:name w:val="eop"/>
    <w:basedOn w:val="Standardnpsmoodstavce"/>
    <w:rsid w:val="004C6C22"/>
  </w:style>
  <w:style w:type="character" w:customStyle="1" w:styleId="spellingerror">
    <w:name w:val="spellingerror"/>
    <w:basedOn w:val="Standardnpsmoodstavce"/>
    <w:rsid w:val="004C6C22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odle.fhs.cuni.cz/course/index.php?categoryid=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ZvIUT09B4n3y0taq4acO5i0rVA==">AMUW2mWj2FEPkL+OZKoLexQ+KzHn8+9es2E/tjmQd5WJSj9cn/Of18/c7AIDMMgTwhzDipueM4/ANPqmfYPV9KqPIo5K/7/P8qnWvIDZIjaj1NsVRJeZSOQ=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2676</Characters>
  <Application>Microsoft Office Word</Application>
  <DocSecurity>4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Pištěková</dc:creator>
  <cp:lastModifiedBy>Romana Pištěková</cp:lastModifiedBy>
  <cp:revision>2</cp:revision>
  <dcterms:created xsi:type="dcterms:W3CDTF">2021-12-10T09:50:00Z</dcterms:created>
  <dcterms:modified xsi:type="dcterms:W3CDTF">2021-12-10T09:50:00Z</dcterms:modified>
</cp:coreProperties>
</file>