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4D15" w14:textId="77777777" w:rsidR="00665608" w:rsidRPr="00665608" w:rsidRDefault="00665608" w:rsidP="0066560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66560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fldChar w:fldCharType="begin"/>
      </w:r>
      <w:r w:rsidRPr="0066560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instrText xml:space="preserve"> HYPERLINK "https://www.thoughtco.com/duality-of-patterning-language-1690412" </w:instrText>
      </w:r>
      <w:r w:rsidRPr="0066560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fldChar w:fldCharType="separate"/>
      </w:r>
      <w:r w:rsidRPr="00665608">
        <w:rPr>
          <w:rFonts w:ascii="Helvetica" w:eastAsia="Times New Roman" w:hAnsi="Helvetica" w:cs="Helvetica"/>
          <w:color w:val="0000FF"/>
          <w:sz w:val="24"/>
          <w:szCs w:val="24"/>
          <w:u w:val="single"/>
          <w:lang w:val="cs-CZ" w:eastAsia="cs-CZ"/>
        </w:rPr>
        <w:t>https://www.thoughtco.com/duality-of-patterning-language-1690412</w:t>
      </w:r>
      <w:r w:rsidRPr="00665608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fldChar w:fldCharType="end"/>
      </w:r>
    </w:p>
    <w:p w14:paraId="1F01C7C4" w14:textId="77777777" w:rsidR="00665608" w:rsidRPr="00665608" w:rsidRDefault="00665608" w:rsidP="0066560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1"/>
          <w:szCs w:val="21"/>
          <w:lang w:val="cs-CZ" w:eastAsia="cs-CZ"/>
        </w:rPr>
      </w:pPr>
      <w:r w:rsidRPr="00665608">
        <w:rPr>
          <w:rFonts w:ascii="Helvetica" w:eastAsia="Times New Roman" w:hAnsi="Helvetica" w:cs="Helvetica"/>
          <w:color w:val="282828"/>
          <w:sz w:val="21"/>
          <w:szCs w:val="21"/>
          <w:bdr w:val="none" w:sz="0" w:space="0" w:color="auto" w:frame="1"/>
          <w:lang w:val="cs-CZ" w:eastAsia="cs-CZ"/>
        </w:rPr>
        <w:t>By</w:t>
      </w:r>
      <w:r w:rsidRPr="00665608">
        <w:rPr>
          <w:rFonts w:ascii="Helvetica" w:eastAsia="Times New Roman" w:hAnsi="Helvetica" w:cs="Helvetica"/>
          <w:color w:val="282828"/>
          <w:sz w:val="21"/>
          <w:szCs w:val="21"/>
          <w:lang w:val="cs-CZ" w:eastAsia="cs-CZ"/>
        </w:rPr>
        <w:t>  </w:t>
      </w:r>
    </w:p>
    <w:p w14:paraId="22597954" w14:textId="77777777" w:rsidR="00665608" w:rsidRPr="00665608" w:rsidRDefault="00665608" w:rsidP="0066560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82828"/>
          <w:sz w:val="21"/>
          <w:szCs w:val="21"/>
          <w:lang w:val="cs-CZ" w:eastAsia="cs-CZ"/>
        </w:rPr>
      </w:pPr>
      <w:hyperlink r:id="rId5" w:history="1">
        <w:r w:rsidRPr="00665608">
          <w:rPr>
            <w:rFonts w:ascii="Helvetica" w:eastAsia="Times New Roman" w:hAnsi="Helvetica" w:cs="Helvetica"/>
            <w:color w:val="282828"/>
            <w:sz w:val="21"/>
            <w:szCs w:val="21"/>
            <w:bdr w:val="none" w:sz="0" w:space="0" w:color="auto" w:frame="1"/>
            <w:lang w:val="cs-CZ" w:eastAsia="cs-CZ"/>
          </w:rPr>
          <w:t xml:space="preserve">Richard </w:t>
        </w:r>
        <w:proofErr w:type="spellStart"/>
        <w:r w:rsidRPr="00665608">
          <w:rPr>
            <w:rFonts w:ascii="Helvetica" w:eastAsia="Times New Roman" w:hAnsi="Helvetica" w:cs="Helvetica"/>
            <w:color w:val="282828"/>
            <w:sz w:val="21"/>
            <w:szCs w:val="21"/>
            <w:bdr w:val="none" w:sz="0" w:space="0" w:color="auto" w:frame="1"/>
            <w:lang w:val="cs-CZ" w:eastAsia="cs-CZ"/>
          </w:rPr>
          <w:t>Nordquist</w:t>
        </w:r>
        <w:proofErr w:type="spellEnd"/>
      </w:hyperlink>
      <w:r w:rsidRPr="00665608">
        <w:rPr>
          <w:rFonts w:ascii="Helvetica" w:eastAsia="Times New Roman" w:hAnsi="Helvetica" w:cs="Helvetica"/>
          <w:color w:val="282828"/>
          <w:sz w:val="21"/>
          <w:szCs w:val="21"/>
          <w:lang w:val="cs-CZ" w:eastAsia="cs-CZ"/>
        </w:rPr>
        <w:t>, 2018</w:t>
      </w:r>
    </w:p>
    <w:p w14:paraId="5D905E29" w14:textId="77777777" w:rsidR="00665608" w:rsidRPr="00665608" w:rsidRDefault="00665608" w:rsidP="006656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</w:pPr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Duality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patterning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characteristic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human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"https://www.thoughtco.com/what-is-a-language-1691218"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whereby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"https://www.thoughtco.com/speech-linguistics-1692121"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speech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can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be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analyzed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on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two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levels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:</w:t>
      </w:r>
    </w:p>
    <w:p w14:paraId="06793226" w14:textId="77777777" w:rsidR="00665608" w:rsidRPr="00665608" w:rsidRDefault="00665608" w:rsidP="006656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</w:pP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As made up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meaningless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elements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;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i.e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., a limited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inventory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sounds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"https://www.thoughtco.com/phoneme-word-sounds-1691621"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phonemes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</w:p>
    <w:p w14:paraId="72859AD1" w14:textId="77777777" w:rsidR="00665608" w:rsidRPr="00665608" w:rsidRDefault="00665608" w:rsidP="006656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</w:pP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As made up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meaningful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elements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;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i.e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., a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virtually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limitless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inventory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"https://www.thoughtco.com/word-english-language-1692612"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words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"https://www.thoughtco.com/what-is-a-morpheme-1691406"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morphemes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(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also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called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double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articulation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)</w:t>
      </w:r>
    </w:p>
    <w:p w14:paraId="0A913AEA" w14:textId="77777777" w:rsidR="00665608" w:rsidRPr="00665608" w:rsidRDefault="00665608" w:rsidP="006656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</w:pP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"[D]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uality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patterning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,"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says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 David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Ludden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, "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what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gives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"https://www.thoughtco.com/what-is-the-english-language-1690652"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 such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expressive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power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Spoken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languages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are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composed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 limited set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meaningless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speech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sounds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are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combined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according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to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"https://www.thoughtco.com/rules-of-english-1691922"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rules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 to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form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meaningful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words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" (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Psychology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: An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Integrated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Approach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, 2016).</w:t>
      </w:r>
    </w:p>
    <w:p w14:paraId="008DE792" w14:textId="77777777" w:rsidR="00665608" w:rsidRPr="00665608" w:rsidRDefault="00665608" w:rsidP="0066560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</w:pP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"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Human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organized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two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levels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layers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simultaneously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property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called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duality</w: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(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'double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articulation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'). In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speech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production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have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physical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level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which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can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produce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individual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sounds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like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n</w: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, </w:t>
      </w:r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b</w: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and </w:t>
      </w:r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i</w: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As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individual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sounds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none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these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discrete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forms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has any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intrinsic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"https://www.thoughtco.com/meaning-semantics-term-1691373"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In a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particular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combination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such as </w:t>
      </w:r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bin</w: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have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another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level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producing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different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from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combination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in 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nib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So,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one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level,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have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distinct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sounds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and,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another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level,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have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distinct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meanings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duality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levels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in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fact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one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most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economical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features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human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because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with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 limited set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discrete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sounds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are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capable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producing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 very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large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number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sound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combinations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(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e.g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words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)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which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are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distinct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in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." (George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Yule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, 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Study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3rd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Cambridge University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Press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, 2006)</w:t>
      </w:r>
    </w:p>
    <w:p w14:paraId="5EF9873B" w14:textId="77777777" w:rsidR="00665608" w:rsidRPr="00665608" w:rsidRDefault="00665608" w:rsidP="00665608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282828"/>
          <w:sz w:val="36"/>
          <w:szCs w:val="36"/>
          <w:lang w:val="cs-CZ" w:eastAsia="cs-CZ"/>
        </w:rPr>
      </w:pPr>
      <w:r w:rsidRPr="00665608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val="cs-CZ" w:eastAsia="cs-CZ"/>
        </w:rPr>
        <w:t xml:space="preserve">Animal </w:t>
      </w:r>
      <w:proofErr w:type="spellStart"/>
      <w:r w:rsidRPr="00665608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val="cs-CZ" w:eastAsia="cs-CZ"/>
        </w:rPr>
        <w:t>Communication</w:t>
      </w:r>
      <w:proofErr w:type="spellEnd"/>
    </w:p>
    <w:p w14:paraId="25C5CF4F" w14:textId="77777777" w:rsidR="00665608" w:rsidRPr="00665608" w:rsidRDefault="00665608" w:rsidP="00665608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</w:pP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"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level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sounds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and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"https://www.thoughtco.com/syllable-definition-1692165"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syllables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province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"https://www.thoughtco.com/phonology-definition-1691623"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phonology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while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meaningful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elements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province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"https://www.thoughtco.com/what-is-grammar-1690909"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grammar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and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"https://www.thoughtco.com/semantics-linguistics-1692080"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semantics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Has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kind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duality any analog in animal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"https://www.thoughtco.com/what-is-communication-1689877"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communication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systems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?...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short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answer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to [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]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question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seems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to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be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no.</w: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br/>
        <w:t xml:space="preserve">(Andrew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Carstairs-McCarthy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, 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Origins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Complex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: An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Inquiry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Into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Evolutionary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Beginnings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Sentences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Syllables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, and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Truth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Oxford University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Press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, 1999)</w:t>
      </w:r>
    </w:p>
    <w:p w14:paraId="30AEC5B8" w14:textId="77777777" w:rsidR="00665608" w:rsidRPr="00665608" w:rsidRDefault="00665608" w:rsidP="00665608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</w:pP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"It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hard to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find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clear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and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uncontroversial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examples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duality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patterning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outside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our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own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species. But let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us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say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can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find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them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—and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there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evidence,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from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way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some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animals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like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birds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and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dolphins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manipulate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melodies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might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be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true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would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lastRenderedPageBreak/>
        <w:t>that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duality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patterning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necessary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condition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for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communication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system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to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be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human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but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by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itself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may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not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be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enough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There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no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human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without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duality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patterning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."</w: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br/>
        <w:t xml:space="preserve">(Daniel L.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Everett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, 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: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Cultural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Tool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Random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House, 2012)</w:t>
      </w:r>
    </w:p>
    <w:p w14:paraId="3BE3EA47" w14:textId="77777777" w:rsidR="00665608" w:rsidRPr="00665608" w:rsidRDefault="00665608" w:rsidP="00665608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282828"/>
          <w:sz w:val="36"/>
          <w:szCs w:val="36"/>
          <w:lang w:val="cs-CZ" w:eastAsia="cs-CZ"/>
        </w:rPr>
      </w:pPr>
      <w:proofErr w:type="spellStart"/>
      <w:r w:rsidRPr="00665608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val="cs-CZ" w:eastAsia="cs-CZ"/>
        </w:rPr>
        <w:t>The</w:t>
      </w:r>
      <w:proofErr w:type="spellEnd"/>
      <w:r w:rsidRPr="00665608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val="cs-CZ" w:eastAsia="cs-CZ"/>
        </w:rPr>
        <w:t>Structures</w:t>
      </w:r>
      <w:proofErr w:type="spellEnd"/>
      <w:r w:rsidRPr="00665608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val="cs-CZ" w:eastAsia="cs-CZ"/>
        </w:rPr>
        <w:t>of</w:t>
      </w:r>
      <w:proofErr w:type="spellEnd"/>
      <w:r w:rsidRPr="00665608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val="cs-CZ" w:eastAsia="cs-CZ"/>
        </w:rPr>
        <w:t>Phonology</w:t>
      </w:r>
      <w:proofErr w:type="spellEnd"/>
      <w:r w:rsidRPr="00665608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val="cs-CZ" w:eastAsia="cs-CZ"/>
        </w:rPr>
        <w:t xml:space="preserve"> and Syntax</w:t>
      </w:r>
    </w:p>
    <w:p w14:paraId="319F75BE" w14:textId="77777777" w:rsidR="00665608" w:rsidRPr="00665608" w:rsidRDefault="00665608" w:rsidP="00665608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</w:pP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"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question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whether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structures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phonology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and </w:t>
      </w:r>
      <w:hyperlink r:id="rId6" w:history="1">
        <w:r w:rsidRPr="00665608">
          <w:rPr>
            <w:rFonts w:ascii="Georgia" w:eastAsia="Times New Roman" w:hAnsi="Georgia" w:cs="Times New Roman"/>
            <w:color w:val="282828"/>
            <w:sz w:val="26"/>
            <w:szCs w:val="26"/>
            <w:lang w:val="cs-CZ" w:eastAsia="cs-CZ"/>
          </w:rPr>
          <w:t>syntax</w:t>
        </w:r>
      </w:hyperlink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 are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separate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and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distinct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relevant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to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notion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duality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patterning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...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division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between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meaningful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and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meaningless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elements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less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sharp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than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appears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and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fact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words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are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composed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phonemes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arguably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just a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special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case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pervasive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hierarchical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structure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that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present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in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...</w: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br/>
        <w:t>"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all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Hockett's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design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features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duality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patterning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most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misrepresented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and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misunderstood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; in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particular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frequently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conflated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with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linked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to 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begin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instrText xml:space="preserve"> HYPERLINK "https://www.thoughtco.com/productivity-language-1691541" </w:instrTex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separate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productivity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fldChar w:fldCharType="end"/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 (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Fitch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2010).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Hockett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seems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to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have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regarded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duality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patterning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as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single most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important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breakthrough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in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evolution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(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Hockett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1973: 414),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yet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he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himself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was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unsure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whether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to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ascribe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duality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patterning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to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dance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honeybee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(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Hackett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1958: 574)."</w:t>
      </w:r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br/>
        <w:t xml:space="preserve">(D.R.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Ladd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"An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Integrated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View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of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Phonetics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Phonology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and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Prosody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." 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Language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, Music, and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the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Brain: A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Mysterious</w:t>
      </w:r>
      <w:proofErr w:type="spellEnd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 xml:space="preserve"> </w:t>
      </w:r>
      <w:proofErr w:type="spellStart"/>
      <w:r w:rsidRPr="00665608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val="cs-CZ" w:eastAsia="cs-CZ"/>
        </w:rPr>
        <w:t>Relationship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,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ed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by Michael A.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Arbib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 xml:space="preserve">. MIT </w:t>
      </w:r>
      <w:proofErr w:type="spellStart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Press</w:t>
      </w:r>
      <w:proofErr w:type="spellEnd"/>
      <w:r w:rsidRPr="00665608">
        <w:rPr>
          <w:rFonts w:ascii="Georgia" w:eastAsia="Times New Roman" w:hAnsi="Georgia" w:cs="Times New Roman"/>
          <w:color w:val="282828"/>
          <w:sz w:val="26"/>
          <w:szCs w:val="26"/>
          <w:lang w:val="cs-CZ" w:eastAsia="cs-CZ"/>
        </w:rPr>
        <w:t>, 2013)</w:t>
      </w:r>
    </w:p>
    <w:p w14:paraId="41B9C973" w14:textId="77777777" w:rsidR="00BA48D2" w:rsidRDefault="00BA48D2"/>
    <w:sectPr w:rsidR="00BA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AC0"/>
    <w:multiLevelType w:val="multilevel"/>
    <w:tmpl w:val="2A5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52CD4"/>
    <w:multiLevelType w:val="multilevel"/>
    <w:tmpl w:val="D74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E05E2"/>
    <w:multiLevelType w:val="multilevel"/>
    <w:tmpl w:val="A8AC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62CDB"/>
    <w:multiLevelType w:val="multilevel"/>
    <w:tmpl w:val="2AF2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800D5"/>
    <w:multiLevelType w:val="multilevel"/>
    <w:tmpl w:val="18DA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08"/>
    <w:rsid w:val="00665608"/>
    <w:rsid w:val="00B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5DE0"/>
  <w15:chartTrackingRefBased/>
  <w15:docId w15:val="{F14C5E0B-B608-47C7-B6B4-D77D7E20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link w:val="Nadpis2Char"/>
    <w:uiPriority w:val="9"/>
    <w:qFormat/>
    <w:rsid w:val="00665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656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65608"/>
    <w:rPr>
      <w:color w:val="0000FF"/>
      <w:u w:val="single"/>
    </w:rPr>
  </w:style>
  <w:style w:type="character" w:customStyle="1" w:styleId="comp">
    <w:name w:val="comp"/>
    <w:basedOn w:val="Standardnpsmoodstavce"/>
    <w:rsid w:val="00665608"/>
  </w:style>
  <w:style w:type="character" w:customStyle="1" w:styleId="linkwrapper">
    <w:name w:val="link__wrapper"/>
    <w:basedOn w:val="Standardnpsmoodstavce"/>
    <w:rsid w:val="00665608"/>
  </w:style>
  <w:style w:type="paragraph" w:customStyle="1" w:styleId="comp1">
    <w:name w:val="comp1"/>
    <w:basedOn w:val="Normln"/>
    <w:rsid w:val="0066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665608"/>
    <w:rPr>
      <w:i/>
      <w:iCs/>
    </w:rPr>
  </w:style>
  <w:style w:type="character" w:customStyle="1" w:styleId="mntl-sc-block-headingtext">
    <w:name w:val="mntl-sc-block-heading__text"/>
    <w:basedOn w:val="Standardnpsmoodstavce"/>
    <w:rsid w:val="0066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syntax-grammar-1692182" TargetMode="External"/><Relationship Id="rId5" Type="http://schemas.openxmlformats.org/officeDocument/2006/relationships/hyperlink" Target="https://www.thoughtco.com/richard-nordquist-16883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1</cp:revision>
  <dcterms:created xsi:type="dcterms:W3CDTF">2021-10-01T16:44:00Z</dcterms:created>
  <dcterms:modified xsi:type="dcterms:W3CDTF">2021-10-01T16:44:00Z</dcterms:modified>
</cp:coreProperties>
</file>