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ED0" w:rsidRPr="00F20ED0" w:rsidRDefault="00F20ED0" w:rsidP="00F20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F20ED0">
        <w:rPr>
          <w:rFonts w:ascii="Times New Roman" w:eastAsia="Times New Roman" w:hAnsi="Times New Roman" w:cs="Times New Roman"/>
          <w:b/>
          <w:bCs/>
          <w:kern w:val="36"/>
          <w:sz w:val="48"/>
          <w:szCs w:val="48"/>
          <w:lang w:eastAsia="cs-CZ"/>
        </w:rPr>
        <w:t>Socialism and development: seven theses on global integration</w:t>
      </w:r>
      <w:r w:rsidRPr="00F20ED0">
        <w:rPr>
          <w:rFonts w:ascii="Tahoma" w:eastAsia="Times New Roman" w:hAnsi="Tahoma" w:cs="Tahoma"/>
          <w:b/>
          <w:bCs/>
          <w:kern w:val="36"/>
          <w:sz w:val="48"/>
          <w:szCs w:val="48"/>
          <w:lang w:eastAsia="cs-CZ"/>
        </w:rPr>
        <w:t>﻿</w:t>
      </w:r>
    </w:p>
    <w:p w:rsidR="00F20ED0" w:rsidRPr="00F20ED0" w:rsidRDefault="00F20ED0" w:rsidP="00F20ED0">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sz w:val="24"/>
          <w:szCs w:val="24"/>
          <w:lang w:eastAsia="cs-CZ"/>
        </w:rPr>
        <w:t xml:space="preserve">Post author </w:t>
      </w:r>
    </w:p>
    <w:p w:rsidR="00F20ED0" w:rsidRPr="00F20ED0" w:rsidRDefault="00F20ED0" w:rsidP="00F20ED0">
      <w:pPr>
        <w:spacing w:after="0" w:line="240" w:lineRule="auto"/>
        <w:rPr>
          <w:rFonts w:ascii="Times New Roman" w:eastAsia="Times New Roman" w:hAnsi="Times New Roman" w:cs="Times New Roman"/>
          <w:sz w:val="24"/>
          <w:szCs w:val="24"/>
          <w:lang w:eastAsia="cs-CZ"/>
        </w:rPr>
      </w:pPr>
      <w:r w:rsidRPr="00F20ED0">
        <w:rPr>
          <w:rFonts w:ascii="Times New Roman" w:eastAsia="Times New Roman" w:hAnsi="Symbol" w:cs="Times New Roman"/>
          <w:sz w:val="24"/>
          <w:szCs w:val="24"/>
          <w:lang w:eastAsia="cs-CZ"/>
        </w:rPr>
        <w:t></w:t>
      </w:r>
      <w:r w:rsidRPr="00F20ED0">
        <w:rPr>
          <w:rFonts w:ascii="Times New Roman" w:eastAsia="Times New Roman" w:hAnsi="Times New Roman" w:cs="Times New Roman"/>
          <w:sz w:val="24"/>
          <w:szCs w:val="24"/>
          <w:lang w:eastAsia="cs-CZ"/>
        </w:rPr>
        <w:t xml:space="preserve">  By </w:t>
      </w:r>
      <w:hyperlink r:id="rId5" w:history="1">
        <w:r w:rsidRPr="00F20ED0">
          <w:rPr>
            <w:rFonts w:ascii="Times New Roman" w:eastAsia="Times New Roman" w:hAnsi="Times New Roman" w:cs="Times New Roman"/>
            <w:color w:val="0000FF"/>
            <w:sz w:val="24"/>
            <w:szCs w:val="24"/>
            <w:u w:val="single"/>
            <w:lang w:eastAsia="cs-CZ"/>
          </w:rPr>
          <w:t>Agnes Gagyi</w:t>
        </w:r>
      </w:hyperlink>
      <w:r w:rsidRPr="00F20ED0">
        <w:rPr>
          <w:rFonts w:ascii="Times New Roman" w:eastAsia="Times New Roman" w:hAnsi="Times New Roman" w:cs="Times New Roman"/>
          <w:sz w:val="24"/>
          <w:szCs w:val="24"/>
          <w:lang w:eastAsia="cs-CZ"/>
        </w:rPr>
        <w:t xml:space="preserve"> </w:t>
      </w:r>
    </w:p>
    <w:p w:rsidR="00F20ED0" w:rsidRPr="00F20ED0" w:rsidRDefault="00F20ED0" w:rsidP="00F20ED0">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hyperlink r:id="rId6" w:history="1">
        <w:r w:rsidRPr="00F20ED0">
          <w:rPr>
            <w:rFonts w:ascii="Times New Roman" w:eastAsia="Times New Roman" w:hAnsi="Times New Roman" w:cs="Times New Roman"/>
            <w:color w:val="0000FF"/>
            <w:sz w:val="24"/>
            <w:szCs w:val="24"/>
            <w:u w:val="single"/>
            <w:lang w:eastAsia="cs-CZ"/>
          </w:rPr>
          <w:t>February 20, 2020</w:t>
        </w:r>
      </w:hyperlink>
      <w:r w:rsidRPr="00F20ED0">
        <w:rPr>
          <w:rFonts w:ascii="Times New Roman" w:eastAsia="Times New Roman" w:hAnsi="Times New Roman" w:cs="Times New Roman"/>
          <w:sz w:val="24"/>
          <w:szCs w:val="24"/>
          <w:lang w:eastAsia="cs-CZ"/>
        </w:rPr>
        <w:t xml:space="preserve"> </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i/>
          <w:iCs/>
          <w:sz w:val="24"/>
          <w:szCs w:val="24"/>
          <w:lang w:eastAsia="cs-CZ"/>
        </w:rPr>
        <w:t>The pieces in the dossier </w:t>
      </w:r>
      <w:r w:rsidRPr="00F20ED0">
        <w:rPr>
          <w:rFonts w:ascii="Times New Roman" w:eastAsia="Times New Roman" w:hAnsi="Times New Roman" w:cs="Times New Roman"/>
          <w:sz w:val="24"/>
          <w:szCs w:val="24"/>
          <w:lang w:eastAsia="cs-CZ"/>
        </w:rPr>
        <w:t>1989 Thirty Years Later</w:t>
      </w:r>
      <w:r w:rsidRPr="00F20ED0">
        <w:rPr>
          <w:rFonts w:ascii="Times New Roman" w:eastAsia="Times New Roman" w:hAnsi="Times New Roman" w:cs="Times New Roman"/>
          <w:i/>
          <w:iCs/>
          <w:sz w:val="24"/>
          <w:szCs w:val="24"/>
          <w:lang w:eastAsia="cs-CZ"/>
        </w:rPr>
        <w:t xml:space="preserve"> were developed around the workshop “Eastern Europe after 30 years of transition: New emancipatory perspectives from the region,” held in Prague on 25-26 October 2019, organised by the Transnational Institute (Amsterdam) and the Rosa Luxemburg Foundation (Prague), coordinated by Agnes Gagyi and Ondrej Slacalek. In addition to their commentary on the present, these articles also give a virtual tour of the collapsing state-socialist world at the moment of its demise, through the memory of those who lived through it, and implore us to reconsider what critical memory might look like, that is, memory that helps us work toward a substantially different future. </w:t>
      </w:r>
      <w:r w:rsidRPr="00F20ED0">
        <w:rPr>
          <w:rFonts w:ascii="Tahoma" w:eastAsia="Times New Roman" w:hAnsi="Tahoma" w:cs="Tahoma"/>
          <w:i/>
          <w:iCs/>
          <w:sz w:val="24"/>
          <w:szCs w:val="24"/>
          <w:lang w:eastAsia="cs-CZ"/>
        </w:rPr>
        <w:t>﻿</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sz w:val="24"/>
          <w:szCs w:val="24"/>
          <w:lang w:eastAsia="cs-CZ"/>
        </w:rPr>
        <w:t xml:space="preserve">Thirty years after the fall of the Berlin wall, an inability to see East European history in a global perspective still remains a major limitation for understanding the significance of socialism and the post-socialist transformation.. Achieving such a global perspective requires us to abstain from Cold War interpretation frameworks, which pictured East and West as separate and opposing worlds, as well as from the reactualization of such frameworks within contemporary geopolitical power struggles. Furthermore, it requires readjusting our focus towards the global dimensions of a deepening socio-economic and political crisis, including possible future mass extinction caused by climate change. </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sz w:val="24"/>
          <w:szCs w:val="24"/>
          <w:lang w:eastAsia="cs-CZ"/>
        </w:rPr>
        <w:t xml:space="preserve">In the following, I bring forth several theses regarding this question, from a perspective situated in Hungary – the East Central European country that came to be seen today as the exemplary case of the “failure” of the liberal program of post-socialist regime change. In addition to a broader tradition of research inspired by a world-systems approach, as well as new approaches on socialism that apply a global methodology, these theses are based on a </w:t>
      </w:r>
      <w:bookmarkStart w:id="0" w:name="_GoBack"/>
      <w:bookmarkEnd w:id="0"/>
      <w:r w:rsidRPr="00F20ED0">
        <w:rPr>
          <w:rFonts w:ascii="Times New Roman" w:eastAsia="Times New Roman" w:hAnsi="Times New Roman" w:cs="Times New Roman"/>
          <w:sz w:val="24"/>
          <w:szCs w:val="24"/>
          <w:lang w:eastAsia="cs-CZ"/>
        </w:rPr>
        <w:t>recent history of debates within new left perspectives that have emerged in the region in the last decades, as well as results of collective research within the Working Group for Public Sociology “Helyzet” in Budapest.</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b/>
          <w:bCs/>
          <w:sz w:val="24"/>
          <w:szCs w:val="24"/>
          <w:lang w:eastAsia="cs-CZ"/>
        </w:rPr>
        <w:t>1. Socialism was a development effort within global capitalism</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sz w:val="24"/>
          <w:szCs w:val="24"/>
          <w:lang w:eastAsia="cs-CZ"/>
        </w:rPr>
        <w:t>As Andre Gunder Frank’s 1977 essay</w:t>
      </w:r>
      <w:r w:rsidRPr="00F20ED0">
        <w:rPr>
          <w:rFonts w:ascii="Times New Roman" w:eastAsia="Times New Roman" w:hAnsi="Times New Roman" w:cs="Times New Roman"/>
          <w:i/>
          <w:iCs/>
          <w:sz w:val="24"/>
          <w:szCs w:val="24"/>
          <w:lang w:eastAsia="cs-CZ"/>
        </w:rPr>
        <w:t xml:space="preserve"> Long live transideological enterprise!</w:t>
      </w:r>
      <w:r w:rsidRPr="00F20ED0">
        <w:rPr>
          <w:rFonts w:ascii="Times New Roman" w:eastAsia="Times New Roman" w:hAnsi="Times New Roman" w:cs="Times New Roman"/>
          <w:sz w:val="24"/>
          <w:szCs w:val="24"/>
          <w:lang w:eastAsia="cs-CZ"/>
        </w:rPr>
        <w:t xml:space="preserve"> famously pointed out, despite political differences, socialist economies functioned as integral part of the global capitalist economy. This did not only mean that socialist states engaged in external relations of commerce or finance but also that the socialist development effort followed the priorities of global capitalist competition. Upgrading technological capacity in order to ameliorate terms of trade, and thereby achieve upward mobility in the hierarchies of the world economy, was a necessity that stood at the base of industrialization efforts in socialist countries as well as non-socialist semi-peripheries and peripheries. This development effort, with its priorities and conditions fixed in the external environment of global capitalism, came to be internalized in the form of forced industrialization and urbanization, the exploitation of agricultural resources </w:t>
      </w:r>
      <w:r w:rsidRPr="00F20ED0">
        <w:rPr>
          <w:rFonts w:ascii="Times New Roman" w:eastAsia="Times New Roman" w:hAnsi="Times New Roman" w:cs="Times New Roman"/>
          <w:sz w:val="24"/>
          <w:szCs w:val="24"/>
          <w:lang w:eastAsia="cs-CZ"/>
        </w:rPr>
        <w:lastRenderedPageBreak/>
        <w:t>in order to support technological imports and development, and stood at the basis of the debt spiral that led to the final crisis of socialist economies in the 1980’s.</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b/>
          <w:bCs/>
          <w:sz w:val="24"/>
          <w:szCs w:val="24"/>
          <w:lang w:eastAsia="cs-CZ"/>
        </w:rPr>
        <w:t>2. In economic terms, state socialism’s relations with Third World countries replicated global economic hierarchies.</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sz w:val="24"/>
          <w:szCs w:val="24"/>
          <w:lang w:eastAsia="cs-CZ"/>
        </w:rPr>
        <w:t>While the subordination and continued dependence of socialist industrialization efforts from the core economies – from technological imports under unequal terms of trade to relations of debt – is one of the manifest results of their global integration, state socialism’s relationship with the Global South also needs to be emphasized. While socialist countries politically supported Third World initiatives against the unequal development of the global economy, in terms of crude economic relations, their priority remained to optimize their position within global economic hierarchies. This priority did not simply mean that they joined efforts with Third World countries for global reform with the expectation that it will also contribute to their own development. It also meant that in terms of world-economic flows, they occupied positions very similar to non-socialist semi-peripheries, where unequal relations with core economies were matched with unequal trade with peripheral countries. This tendency was intensified by the growth crisis and increasing debt problems after the 1970’s, when socialist regimes increased Third World cooperation as a means of compensating their losses.</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b/>
          <w:bCs/>
          <w:sz w:val="24"/>
          <w:szCs w:val="24"/>
          <w:lang w:eastAsia="cs-CZ"/>
        </w:rPr>
        <w:t>3. Socialism internalized priorities of global capitalist accumulation in the form of internal hierarchies</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sz w:val="24"/>
          <w:szCs w:val="24"/>
          <w:lang w:eastAsia="cs-CZ"/>
        </w:rPr>
        <w:t>In comparison with non-socialist semi-peripheries or with the social destruction of the post-socialist era, state socialist systems were more egalitarian and accommodated a larger volume of reproductive needs. However, even the most successful years of socialist development, these measures were characterized by a clear hierarchy between socio-economic functions that figured among the priorities of catch-up development (urbanization, industrialization, development of expertise and technology), and socio-economic functions that served as a reproductive base, used as a “cheap” resource for this kind of development (agriculture, rural labour and demography, self-supporting agriculture, self-built housing, kin and community level reproductive cooperations, etc.). The socialist development that created socio-economic infrastructures of high modernity also deepened these internal hierarchies. As the crisis of socialism broke up the systems of redistribution and social welfare that helped bridge those hierarchies, the internalized unevenness of capitalist development showed itself in its bare form.</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b/>
          <w:bCs/>
          <w:sz w:val="24"/>
          <w:szCs w:val="24"/>
          <w:lang w:eastAsia="cs-CZ"/>
        </w:rPr>
        <w:t>4. The crisis of socialist economies was part of the crisis of the post-war global economic cycle</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sz w:val="24"/>
          <w:szCs w:val="24"/>
          <w:lang w:eastAsia="cs-CZ"/>
        </w:rPr>
        <w:t>While contemporary scholarship framed in Cold War terms often understands the crises of socialist economies in terms of the socialist model’s own, specific problems, if we look at the ways socialist economies were embedded in world-economic flows, these crises rather appear as ways through which changing global conditions were internalized in different socialist systems. The end of the expansion period of the post-war global economic cycle, with the intensification of competition and the overproduction problem of core economies, the starting financialization of the global economy, and the structural changes that came to be understood later as the global wave of industrial relocation, flexibilization and neoliberalism, had direct effects on the socialist industrialization effort. The exhaustion of rural demographic resources that stood at its base coincided with the end of cheap oil after 1973, a surge in global money markets due to petrodollars, and the willingness of core economies to invest in Eastern Europe in order to alleviate pressures of overaccumulation and competition for their own markets. An advanced stage of capital need, stemming from the need for technological imports, was met by a wave of capital influx from the core economies. Considered serviceable at first, such loans became highly expensive after the FED raised rates in the early 1980’s, changing the direction of global capital flows in order to alleviate the problems of the US economy. Ensuing debt crises in Eastern Europe and Latin America functioned as a way of externalizing the effects of a global crisis from the core to the semi-peripheries.</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sz w:val="24"/>
          <w:szCs w:val="24"/>
          <w:lang w:eastAsia="cs-CZ"/>
        </w:rPr>
        <w:t xml:space="preserve">In this context, socialist regimes took different paths, but none managed to delay the collapse of state socialism. Within the process of crisis management, one aspect emphasized by recent research is the tendency towards neoliberalization, which appeared in certain segments of economic management and related expertise. Another often-discussed aspect has been the struggle between various segments within socialist management – clashes between political-economic fractions working for liberalization and those fighting to maintain a protectionist model of industrialization are one frequent example. However, beyond debates and political struggles on the top levels of management and expertise, the structural transformation during the crisis years of socialism probably provides an even more convincing argument for understanding the process in the global terms. </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sz w:val="24"/>
          <w:szCs w:val="24"/>
          <w:lang w:eastAsia="cs-CZ"/>
        </w:rPr>
        <w:t>More than just elite politics or expertise circulating between East and West, the crisis permeated the whole social structure, resulting in relocations of industry from central to rural areas in search of cheaper labour; the mobilization of womens’ labour as a more flexible and obedient resource; the intensification of industrial agriculture or highly polluting chemical industry as a source for export to gain hard currency; the draining of investment flows into reproductive functions such as housing, and the resulting growth in the number of commutes and informal housing; the overall surge in informal reproductive economic activities to fill the gap between formal incomes and the costs of reproduction. While differences with other global regions may be emphasized, the main lines of this transformation are common: the exhaustion of the post-war global cycle reduces the system’s capacity to accommodate reproduction within capitalist circuits while maintaining profitability. The relationship between accumulation and reproductive needs becomes increasingly conflictual, where capital pushes to maintain profitability through externalizing the costs of its crisis to labour. Beyond efforts to reduce the costs of labour in order to maintain the industrialization effort, the main form in which this struggle appears in Eastern Europe in the last decade of socialism is the reorientation of state expenditure from reproductive functions to debt service to core capital.</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b/>
          <w:bCs/>
          <w:sz w:val="24"/>
          <w:szCs w:val="24"/>
          <w:lang w:eastAsia="cs-CZ"/>
        </w:rPr>
        <w:t>5. Post-socialist transition and Europeanization meant an integration into the crisis management of the global core – in a subordinated position</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sz w:val="24"/>
          <w:szCs w:val="24"/>
          <w:lang w:eastAsia="cs-CZ"/>
        </w:rPr>
        <w:t xml:space="preserve">Present discussions often address the contradiction between high expectations of post-socialist transition and the disillusionment that feeds contemporary anti-liberal sentiments. From the perspective of world-economic integration, what is important to emphasize here is the connection between core crisis management and East European integration. If the debt crises of socialist economies were connected to global financial politics serving core crisis management, the restructuring of East European economies after 1989 entailed a cheap privatization of assets, the opening of new markets to Western products in parallel with the destruction of local production, and a wave of deindustrialization followed by FDI-based selective reindustrialization on lower ends of the value chain, which raised Western companies’ profits through lower wages. Beyond discourses of ethical norms, European integration constituted a process of institutionalization of neoliberal reforms. In social critiques of European crisis management, the phase when Eastern accessions  happened is described as the transition from embedded neoliberalism to a full-fledged neoliberal model of the EU. This process, widely criticized for its anti-democratic character, was the context of European accessions, advertised at the time as East European countries’ entry into the club of Western democracies. </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b/>
          <w:bCs/>
          <w:sz w:val="24"/>
          <w:szCs w:val="24"/>
          <w:lang w:eastAsia="cs-CZ"/>
        </w:rPr>
        <w:t>6. Illiberalism is a result of post-socialist transition – and part of contemporary capitalist crisis management</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sz w:val="24"/>
          <w:szCs w:val="24"/>
          <w:lang w:eastAsia="cs-CZ"/>
        </w:rPr>
        <w:t xml:space="preserve">Today, the popular disillusionment with the promises of post-socialist transition, mobilized by right-wing populist propaganda, is pointed at as the root cause of illiberalism in Eastern Europe. Transcending the ideological changes, it is important to mention in this regard the actual alliances and conflicts within the process of global integration that contributed to the rise of illiberalism. One important aspect of this question is the complex and often conflictual relationship between domestic and international capital, and the changing coalitions of economic and political elites along accumulation possibilities opened up by post-socialist integration. Privatization meant not only an opportunity for foreign capital, but also constituted the base for the creation of domestic capital. The sectors in which domestic capital could operate were limited by the conditions of integration. In competitive export sectors, the domestic industry was typically bound to the lower positions of the supply chain. By contrast, in non-tradeables, its competition with foreign investors could be influenced through political decisions, and it constituted a stake in elite economic-political coalitions. </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sz w:val="24"/>
          <w:szCs w:val="24"/>
          <w:lang w:eastAsia="cs-CZ"/>
        </w:rPr>
        <w:t xml:space="preserve">In Hungary, whose turn from liberal to illiberal politics is treated as an exemplary case today, the domestic capital constituted through privatization has a background in socialist technocracy, which supported liberalization and privatization to its own benefit. Throughout the 1990’s, when Hungary counted as an example case of successful liberalization, this type of domestic capital was allied to the coalition of Socialist and Liberal parties and their neoliberal agenda. During the 2000’s, the end of privatization put an end to FDI inflow. The lack of capital was filled by a new wave of public and private debt. In this state of advanced austerity, state investments were substituted by EU transfers. This situation fixed the state’s maneuver capacity within the EU neoliberal agenda to such an extent, that two domestic factions, the capitalists and the major unions, broke up their alliance with the Social-Liberal coalition. The street demonstrations that broke out in 2006 merely marked the political end of the liberal era. </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sz w:val="24"/>
          <w:szCs w:val="24"/>
          <w:lang w:eastAsia="cs-CZ"/>
        </w:rPr>
        <w:t>The present national-conservative regime, governing with super-majority since 2010, reorganized the conditions of accumulation using the space for maneuver provided by the 2008 crisis. Symbolically, it promised an “economic freedom fight” that will save Hungarian development from Western subordination. In its economic policy, the regime developed a double strategy that built on boosting export sectors through FDI from core countries – most importantly, German automotive industry relocating after 2008 – and at the same time engaged in recentralizing capacities and subsidizing domestic capital accumulation in non-tradeable sectors. While the reindustrialization in the export sector helps to keep the balance of payments in order, the reorganizations in non-tradeables contribute to the capitalization of a state-based new oligarchy. The success of the “illiberal” model can be described as a balance between providing ideal conditions for Western capital to compensate for its crisis through cheaper labour and favourable subsidies, and simultaneously creating the space for maneuver for domestic capital. Contrary to descriptions that emphasize the political contradiction between European liberalism and Orbán’s illiberalism, the major tension this system produces is between this double requirement of extraction and the capacity of labour’s reproduction. This tension becomes manifest in a crisis of outmigration, labour shortage, housing and care crisis, and a new boost of informal reproductive practices. The authoritarian nature of the regime – the characteristic the liberal criticism tends to focus on – serves to suppress and control that tension in order to maintain the flow of extraction.</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b/>
          <w:bCs/>
          <w:sz w:val="24"/>
          <w:szCs w:val="24"/>
          <w:lang w:eastAsia="cs-CZ"/>
        </w:rPr>
        <w:t>7. The climate crisis obliges us to differentiate developmentalism from reproductive struggle</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sz w:val="24"/>
          <w:szCs w:val="24"/>
          <w:lang w:eastAsia="cs-CZ"/>
        </w:rPr>
        <w:t>In theory, the three main currents of anti-systemic movements of the 20</w:t>
      </w:r>
      <w:r w:rsidRPr="00F20ED0">
        <w:rPr>
          <w:rFonts w:ascii="Times New Roman" w:eastAsia="Times New Roman" w:hAnsi="Times New Roman" w:cs="Times New Roman"/>
          <w:sz w:val="24"/>
          <w:szCs w:val="24"/>
          <w:vertAlign w:val="superscript"/>
          <w:lang w:eastAsia="cs-CZ"/>
        </w:rPr>
        <w:t>th</w:t>
      </w:r>
      <w:r w:rsidRPr="00F20ED0">
        <w:rPr>
          <w:rFonts w:ascii="Times New Roman" w:eastAsia="Times New Roman" w:hAnsi="Times New Roman" w:cs="Times New Roman"/>
          <w:sz w:val="24"/>
          <w:szCs w:val="24"/>
          <w:lang w:eastAsia="cs-CZ"/>
        </w:rPr>
        <w:t xml:space="preserve"> century – social democracy, communism and national liberation – all aimed to disrupt the dictate of capital accumulation over reproduction. However, as they gained power after 1945, all three currents found themselves in a position where their power and their capacity to accommodate reproductive needs was conditional to maintaining and fulfilling relations of integration into global structures of capital accumulation. Where they succeeded in broadening local labor’s share in global capital’s profits </w:t>
      </w:r>
      <w:r w:rsidRPr="00F20ED0">
        <w:rPr>
          <w:rFonts w:ascii="Times New Roman" w:eastAsia="Times New Roman" w:hAnsi="Times New Roman" w:cs="Times New Roman"/>
          <w:i/>
          <w:iCs/>
          <w:sz w:val="24"/>
          <w:szCs w:val="24"/>
          <w:lang w:eastAsia="cs-CZ"/>
        </w:rPr>
        <w:t>within</w:t>
      </w:r>
      <w:r w:rsidRPr="00F20ED0">
        <w:rPr>
          <w:rFonts w:ascii="Times New Roman" w:eastAsia="Times New Roman" w:hAnsi="Times New Roman" w:cs="Times New Roman"/>
          <w:sz w:val="24"/>
          <w:szCs w:val="24"/>
          <w:lang w:eastAsia="cs-CZ"/>
        </w:rPr>
        <w:t xml:space="preserve"> those conditions, they were celebrated. Where they failed to do so – and all failed to do so after the expansion period of the post-war cycle ended – they were accused of betrayal. </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sz w:val="24"/>
          <w:szCs w:val="24"/>
          <w:lang w:eastAsia="cs-CZ"/>
        </w:rPr>
        <w:t xml:space="preserve">The story about Western social democracy losing its worker base and re-aligning with neoliberalism resonates the strongest in contemporary discourses about the crisis, in line with the position of Western experience in global hierarchies of knowledge. On the progressive side of Western politics, recently there has been a return to social democratic ideas. Claims that project these ideas as a solution to the global crisis portray the past capacity of Western social democracy to capture a significant share of global capital’s profits for Western labour as a future possibility for the whole world. Such claims express a failure to consider the fact that this achievement was only possible in the core, and was conditional on the growth in profitability that was bound to end once the post-war cycle was exhausted. They also omit the burden this growth put on peripheral economies, ecology and climate. These claims are important in that their Eurocentric, backward-looking perspective still dominates the mainstream of progressive thought in the face of climate change. The idea of a just transition linked to green growth (new jobs provided through green capital’s expansion) is frequently featured in this narrative.  But what about the regions and people to which green capital’s expansion is necessarily detrimental to? The Austrian Conservative-Green alliance shows a darker face of the same political line: combining the reproductive accommodation of the few with pro-capital policies and anti-immigration measures. This direction has been strongly criticized by anti-growth climate politics that emphasize the need to liberate green transition and economic justice from the condition of profitability. </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sz w:val="24"/>
          <w:szCs w:val="24"/>
          <w:lang w:eastAsia="cs-CZ"/>
        </w:rPr>
        <w:t xml:space="preserve">Meanwhile, the political tradition of national liberation comes back in today’s climate debates in terms of distributing shares in emission cuts between “developed” and “developing” nations – namely, in the question whether core polluters should bear most costs, and if peripheries still have the right to energy access and industrialization. These debates have brought forward new, increasingly clear formulations of what a globally just green transition that combines emissions caps with non-capitalist peripheral industrialization may look like (see, for example, this </w:t>
      </w:r>
      <w:hyperlink r:id="rId7" w:history="1">
        <w:r w:rsidRPr="00F20ED0">
          <w:rPr>
            <w:rFonts w:ascii="Times New Roman" w:eastAsia="Times New Roman" w:hAnsi="Times New Roman" w:cs="Times New Roman"/>
            <w:color w:val="0000FF"/>
            <w:sz w:val="24"/>
            <w:szCs w:val="24"/>
            <w:u w:val="single"/>
            <w:lang w:eastAsia="cs-CZ"/>
          </w:rPr>
          <w:t>policy paper</w:t>
        </w:r>
      </w:hyperlink>
      <w:r w:rsidRPr="00F20ED0">
        <w:rPr>
          <w:rFonts w:ascii="Times New Roman" w:eastAsia="Times New Roman" w:hAnsi="Times New Roman" w:cs="Times New Roman"/>
          <w:sz w:val="24"/>
          <w:szCs w:val="24"/>
          <w:lang w:eastAsia="cs-CZ"/>
        </w:rPr>
        <w:t xml:space="preserve"> for energy transition in India by India’s New Trade Union Initiative).</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sz w:val="24"/>
          <w:szCs w:val="24"/>
          <w:lang w:eastAsia="cs-CZ"/>
        </w:rPr>
        <w:t xml:space="preserve">The climate crisis also re-actualizes the historical legacy of state socialism in a new light. Most importantly, it makes clear the difference between left politics that struggle for the accommodation of reproduction needs within the predicaments of capitalist growth, and the politics of reproductive autonomy. </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sz w:val="24"/>
          <w:szCs w:val="24"/>
          <w:lang w:eastAsia="cs-CZ"/>
        </w:rPr>
        <w:t>                                                                        ***</w:t>
      </w:r>
    </w:p>
    <w:p w:rsidR="00F20ED0" w:rsidRPr="00F20ED0" w:rsidRDefault="00F20ED0" w:rsidP="00F20ED0">
      <w:pPr>
        <w:spacing w:before="100" w:beforeAutospacing="1" w:after="100" w:afterAutospacing="1" w:line="240" w:lineRule="auto"/>
        <w:rPr>
          <w:rFonts w:ascii="Times New Roman" w:eastAsia="Times New Roman" w:hAnsi="Times New Roman" w:cs="Times New Roman"/>
          <w:sz w:val="24"/>
          <w:szCs w:val="24"/>
          <w:lang w:eastAsia="cs-CZ"/>
        </w:rPr>
      </w:pPr>
      <w:r w:rsidRPr="00F20ED0">
        <w:rPr>
          <w:rFonts w:ascii="Times New Roman" w:eastAsia="Times New Roman" w:hAnsi="Times New Roman" w:cs="Times New Roman"/>
          <w:sz w:val="24"/>
          <w:szCs w:val="24"/>
          <w:lang w:eastAsia="cs-CZ"/>
        </w:rPr>
        <w:t>This approach brings us back to the original questions of the socialist project: the general aim and tactical conditions of building reproductive autonomy in the midst of capitalist crisis. In terms of memory, it points our attention to the historical drama of that project’s incorporation into the capitalist logic, already within the history of state socialism. In terms of our current political orientation, it shields us against new attempts at developmentalist competition that promises to increase local labour’s share in capital’s profits as part of a growth-based power struggle – and leads to the destruction of reproductive potential globally.</w:t>
      </w:r>
    </w:p>
    <w:p w:rsidR="00064582" w:rsidRPr="00F20ED0" w:rsidRDefault="00064582" w:rsidP="00F20ED0"/>
    <w:sectPr w:rsidR="00064582" w:rsidRPr="00F20E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CA4163"/>
    <w:multiLevelType w:val="multilevel"/>
    <w:tmpl w:val="6808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431510"/>
    <w:multiLevelType w:val="multilevel"/>
    <w:tmpl w:val="85A0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D0"/>
    <w:rsid w:val="00064582"/>
    <w:rsid w:val="00F20E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0C5A9"/>
  <w15:chartTrackingRefBased/>
  <w15:docId w15:val="{8D8FDFDC-19EC-4F02-AEB5-6DEE089A2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F20E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20ED0"/>
    <w:rPr>
      <w:rFonts w:ascii="Times New Roman" w:eastAsia="Times New Roman" w:hAnsi="Times New Roman" w:cs="Times New Roman"/>
      <w:b/>
      <w:bCs/>
      <w:kern w:val="36"/>
      <w:sz w:val="48"/>
      <w:szCs w:val="48"/>
      <w:lang w:eastAsia="cs-CZ"/>
    </w:rPr>
  </w:style>
  <w:style w:type="character" w:customStyle="1" w:styleId="meta-icon">
    <w:name w:val="meta-icon"/>
    <w:basedOn w:val="Standardnpsmoodstavce"/>
    <w:rsid w:val="00F20ED0"/>
  </w:style>
  <w:style w:type="character" w:customStyle="1" w:styleId="screen-reader-text">
    <w:name w:val="screen-reader-text"/>
    <w:basedOn w:val="Standardnpsmoodstavce"/>
    <w:rsid w:val="00F20ED0"/>
  </w:style>
  <w:style w:type="character" w:customStyle="1" w:styleId="meta-text">
    <w:name w:val="meta-text"/>
    <w:basedOn w:val="Standardnpsmoodstavce"/>
    <w:rsid w:val="00F20ED0"/>
  </w:style>
  <w:style w:type="character" w:styleId="Hypertextovodkaz">
    <w:name w:val="Hyperlink"/>
    <w:basedOn w:val="Standardnpsmoodstavce"/>
    <w:uiPriority w:val="99"/>
    <w:semiHidden/>
    <w:unhideWhenUsed/>
    <w:rsid w:val="00F20ED0"/>
    <w:rPr>
      <w:color w:val="0000FF"/>
      <w:u w:val="single"/>
    </w:rPr>
  </w:style>
  <w:style w:type="paragraph" w:styleId="Normlnweb">
    <w:name w:val="Normal (Web)"/>
    <w:basedOn w:val="Normln"/>
    <w:uiPriority w:val="99"/>
    <w:semiHidden/>
    <w:unhideWhenUsed/>
    <w:rsid w:val="00F20ED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20ED0"/>
    <w:rPr>
      <w:i/>
      <w:iCs/>
    </w:rPr>
  </w:style>
  <w:style w:type="character" w:styleId="Siln">
    <w:name w:val="Strong"/>
    <w:basedOn w:val="Standardnpsmoodstavce"/>
    <w:uiPriority w:val="22"/>
    <w:qFormat/>
    <w:rsid w:val="00F20E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888506">
      <w:bodyDiv w:val="1"/>
      <w:marLeft w:val="0"/>
      <w:marRight w:val="0"/>
      <w:marTop w:val="0"/>
      <w:marBottom w:val="0"/>
      <w:divBdr>
        <w:top w:val="none" w:sz="0" w:space="0" w:color="auto"/>
        <w:left w:val="none" w:sz="0" w:space="0" w:color="auto"/>
        <w:bottom w:val="none" w:sz="0" w:space="0" w:color="auto"/>
        <w:right w:val="none" w:sz="0" w:space="0" w:color="auto"/>
      </w:divBdr>
      <w:divsChild>
        <w:div w:id="1318846570">
          <w:marLeft w:val="0"/>
          <w:marRight w:val="0"/>
          <w:marTop w:val="0"/>
          <w:marBottom w:val="0"/>
          <w:divBdr>
            <w:top w:val="none" w:sz="0" w:space="0" w:color="auto"/>
            <w:left w:val="none" w:sz="0" w:space="0" w:color="auto"/>
            <w:bottom w:val="none" w:sz="0" w:space="0" w:color="auto"/>
            <w:right w:val="none" w:sz="0" w:space="0" w:color="auto"/>
          </w:divBdr>
        </w:div>
        <w:div w:id="972713697">
          <w:marLeft w:val="0"/>
          <w:marRight w:val="0"/>
          <w:marTop w:val="0"/>
          <w:marBottom w:val="0"/>
          <w:divBdr>
            <w:top w:val="none" w:sz="0" w:space="0" w:color="auto"/>
            <w:left w:val="none" w:sz="0" w:space="0" w:color="auto"/>
            <w:bottom w:val="none" w:sz="0" w:space="0" w:color="auto"/>
            <w:right w:val="none" w:sz="0" w:space="0" w:color="auto"/>
          </w:divBdr>
          <w:divsChild>
            <w:div w:id="1351642084">
              <w:marLeft w:val="0"/>
              <w:marRight w:val="0"/>
              <w:marTop w:val="0"/>
              <w:marBottom w:val="0"/>
              <w:divBdr>
                <w:top w:val="none" w:sz="0" w:space="0" w:color="auto"/>
                <w:left w:val="none" w:sz="0" w:space="0" w:color="auto"/>
                <w:bottom w:val="none" w:sz="0" w:space="0" w:color="auto"/>
                <w:right w:val="none" w:sz="0" w:space="0" w:color="auto"/>
              </w:divBdr>
            </w:div>
          </w:divsChild>
        </w:div>
        <w:div w:id="1418134186">
          <w:marLeft w:val="0"/>
          <w:marRight w:val="0"/>
          <w:marTop w:val="0"/>
          <w:marBottom w:val="0"/>
          <w:divBdr>
            <w:top w:val="none" w:sz="0" w:space="0" w:color="auto"/>
            <w:left w:val="none" w:sz="0" w:space="0" w:color="auto"/>
            <w:bottom w:val="none" w:sz="0" w:space="0" w:color="auto"/>
            <w:right w:val="none" w:sz="0" w:space="0" w:color="auto"/>
          </w:divBdr>
          <w:divsChild>
            <w:div w:id="143852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3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unionsforenergydemocracy.org/resources/tued-publications/tued-working-paper-8-up-from-develop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fteast.org/socialism-and-development-six-theses-on-global-integration%ef%bb%bf/" TargetMode="External"/><Relationship Id="rId5" Type="http://schemas.openxmlformats.org/officeDocument/2006/relationships/hyperlink" Target="https://lefteast.org/author/agnes-gagy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3032</Words>
  <Characters>17106</Characters>
  <Application>Microsoft Office Word</Application>
  <DocSecurity>0</DocSecurity>
  <Lines>228</Lines>
  <Paragraphs>35</Paragraphs>
  <ScaleCrop>false</ScaleCrop>
  <Company/>
  <LinksUpToDate>false</LinksUpToDate>
  <CharactersWithSpaces>20103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Slačálek</dc:creator>
  <cp:keywords/>
  <dc:description/>
  <cp:lastModifiedBy>Ondřej Slačálek</cp:lastModifiedBy>
  <cp:revision>1</cp:revision>
  <dcterms:created xsi:type="dcterms:W3CDTF">2021-05-05T13:59:00Z</dcterms:created>
  <dcterms:modified xsi:type="dcterms:W3CDTF">2021-05-05T14:09:00Z</dcterms:modified>
</cp:coreProperties>
</file>